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AF" w:rsidRDefault="005007DD" w:rsidP="00740778">
      <w:pPr>
        <w:tabs>
          <w:tab w:val="right" w:pos="8930"/>
        </w:tabs>
        <w:autoSpaceDE w:val="0"/>
        <w:autoSpaceDN w:val="0"/>
        <w:adjustRightInd w:val="0"/>
        <w:spacing w:after="0"/>
        <w:jc w:val="both"/>
        <w:rPr>
          <w:rFonts w:ascii="Tahoma" w:hAnsi="Tahoma" w:cs="Tahoma"/>
          <w:b/>
          <w:highlight w:val="yellow"/>
          <w:lang w:val="es-ES_tradnl"/>
        </w:rPr>
      </w:pPr>
      <w:bookmarkStart w:id="0" w:name="_Hlk67085073"/>
      <w:bookmarkEnd w:id="0"/>
      <w:r w:rsidRPr="0050630F">
        <w:rPr>
          <w:rFonts w:ascii="Tahoma" w:hAnsi="Tahoma" w:cs="Tahoma"/>
          <w:b/>
          <w:sz w:val="24"/>
          <w:szCs w:val="24"/>
        </w:rPr>
        <w:t>INVESTIGACIÓN</w:t>
      </w:r>
      <w:r w:rsidR="009A5E4F" w:rsidRPr="0050630F">
        <w:rPr>
          <w:rFonts w:ascii="Tahoma" w:hAnsi="Tahoma" w:cs="Tahoma"/>
          <w:b/>
          <w:sz w:val="24"/>
          <w:szCs w:val="24"/>
        </w:rPr>
        <w:tab/>
      </w:r>
      <w:hyperlink r:id="rId10" w:history="1">
        <w:r w:rsidR="00BA3CFB" w:rsidRPr="00974080">
          <w:rPr>
            <w:rStyle w:val="Hipervnculo"/>
            <w:rFonts w:ascii="Tahoma" w:hAnsi="Tahoma" w:cs="Tahoma"/>
            <w:b/>
            <w:lang w:val="es-ES_tradnl"/>
          </w:rPr>
          <w:t>http://doi.org/10.15198/seeci.2021.54.e689</w:t>
        </w:r>
      </w:hyperlink>
      <w:r w:rsidR="00BA310B" w:rsidRPr="0050630F">
        <w:rPr>
          <w:rFonts w:ascii="Tahoma" w:hAnsi="Tahoma" w:cs="Tahoma"/>
          <w:b/>
          <w:highlight w:val="yellow"/>
          <w:lang w:val="es-ES_tradnl"/>
        </w:rPr>
        <w:t xml:space="preserve"> </w:t>
      </w:r>
      <w:r w:rsidR="00CF760A" w:rsidRPr="0050630F">
        <w:rPr>
          <w:rFonts w:ascii="Tahoma" w:hAnsi="Tahoma" w:cs="Tahoma"/>
          <w:b/>
          <w:highlight w:val="yellow"/>
          <w:lang w:val="es-ES_tradnl"/>
        </w:rPr>
        <w:t xml:space="preserve"> </w:t>
      </w:r>
    </w:p>
    <w:p w:rsidR="00BA3CFB" w:rsidRPr="0050630F" w:rsidRDefault="00BA3CFB" w:rsidP="00740778">
      <w:pPr>
        <w:tabs>
          <w:tab w:val="right" w:pos="8930"/>
        </w:tabs>
        <w:autoSpaceDE w:val="0"/>
        <w:autoSpaceDN w:val="0"/>
        <w:adjustRightInd w:val="0"/>
        <w:spacing w:after="0"/>
        <w:jc w:val="both"/>
        <w:rPr>
          <w:rFonts w:ascii="Tahoma" w:hAnsi="Tahoma" w:cs="Tahoma"/>
          <w:b/>
          <w:highlight w:val="yellow"/>
          <w:lang w:val="es-ES_tradnl"/>
        </w:rPr>
      </w:pPr>
    </w:p>
    <w:p w:rsidR="00C103F6" w:rsidRPr="001249C8" w:rsidRDefault="00A77FAF" w:rsidP="00740778">
      <w:pPr>
        <w:spacing w:after="0"/>
        <w:rPr>
          <w:rFonts w:ascii="Tahoma" w:hAnsi="Tahoma" w:cs="Tahoma"/>
        </w:rPr>
      </w:pPr>
      <w:r w:rsidRPr="00BA3CFB">
        <w:rPr>
          <w:rFonts w:ascii="Tahoma" w:hAnsi="Tahoma" w:cs="Tahoma"/>
          <w:b/>
        </w:rPr>
        <w:t>Recibido</w:t>
      </w:r>
      <w:r w:rsidRPr="00BA3CFB">
        <w:rPr>
          <w:rFonts w:ascii="Tahoma" w:hAnsi="Tahoma" w:cs="Tahoma"/>
        </w:rPr>
        <w:t>:</w:t>
      </w:r>
      <w:r w:rsidR="00A07BF2" w:rsidRPr="00BA3CFB">
        <w:rPr>
          <w:rFonts w:ascii="Tahoma" w:hAnsi="Tahoma" w:cs="Tahoma"/>
        </w:rPr>
        <w:t xml:space="preserve"> </w:t>
      </w:r>
      <w:r w:rsidR="00BA3CFB" w:rsidRPr="00BA3CFB">
        <w:rPr>
          <w:rFonts w:ascii="Tahoma" w:hAnsi="Tahoma" w:cs="Tahoma"/>
        </w:rPr>
        <w:t>14/01/2021</w:t>
      </w:r>
      <w:r w:rsidR="009A00AD" w:rsidRPr="00BA3CFB">
        <w:rPr>
          <w:rFonts w:ascii="Tahoma" w:hAnsi="Tahoma" w:cs="Tahoma"/>
        </w:rPr>
        <w:t xml:space="preserve"> </w:t>
      </w:r>
      <w:r w:rsidRPr="00BA3CFB">
        <w:rPr>
          <w:rFonts w:ascii="Tahoma" w:hAnsi="Tahoma" w:cs="Tahoma"/>
        </w:rPr>
        <w:t xml:space="preserve">--- </w:t>
      </w:r>
      <w:r w:rsidRPr="00BA3CFB">
        <w:rPr>
          <w:rFonts w:ascii="Tahoma" w:hAnsi="Tahoma" w:cs="Tahoma"/>
          <w:b/>
        </w:rPr>
        <w:t>Aceptado</w:t>
      </w:r>
      <w:r w:rsidRPr="00BA3CFB">
        <w:rPr>
          <w:rFonts w:ascii="Tahoma" w:hAnsi="Tahoma" w:cs="Tahoma"/>
        </w:rPr>
        <w:t xml:space="preserve">: </w:t>
      </w:r>
      <w:r w:rsidR="00BA3CFB">
        <w:rPr>
          <w:rFonts w:ascii="Tahoma" w:hAnsi="Tahoma" w:cs="Tahoma"/>
        </w:rPr>
        <w:t>15</w:t>
      </w:r>
      <w:r w:rsidR="00820DC6">
        <w:rPr>
          <w:rFonts w:ascii="Tahoma" w:hAnsi="Tahoma" w:cs="Tahoma"/>
        </w:rPr>
        <w:t>/04/2021</w:t>
      </w:r>
      <w:r w:rsidR="008809F0" w:rsidRPr="00BA3CFB">
        <w:rPr>
          <w:rFonts w:ascii="Tahoma" w:hAnsi="Tahoma" w:cs="Tahoma"/>
        </w:rPr>
        <w:t xml:space="preserve"> </w:t>
      </w:r>
      <w:r w:rsidRPr="00BA3CFB">
        <w:rPr>
          <w:rFonts w:ascii="Tahoma" w:hAnsi="Tahoma" w:cs="Tahoma"/>
        </w:rPr>
        <w:t>---</w:t>
      </w:r>
      <w:r w:rsidR="008809F0" w:rsidRPr="00BA3CFB">
        <w:rPr>
          <w:rFonts w:ascii="Tahoma" w:hAnsi="Tahoma" w:cs="Tahoma"/>
        </w:rPr>
        <w:t xml:space="preserve"> </w:t>
      </w:r>
      <w:r w:rsidRPr="00BA3CFB">
        <w:rPr>
          <w:rFonts w:ascii="Tahoma" w:hAnsi="Tahoma" w:cs="Tahoma"/>
          <w:b/>
        </w:rPr>
        <w:t>Publicado</w:t>
      </w:r>
      <w:r w:rsidR="00820DC6">
        <w:rPr>
          <w:rFonts w:ascii="Tahoma" w:hAnsi="Tahoma" w:cs="Tahoma"/>
        </w:rPr>
        <w:t>: 12</w:t>
      </w:r>
      <w:r w:rsidRPr="00BA3CFB">
        <w:rPr>
          <w:rFonts w:ascii="Tahoma" w:hAnsi="Tahoma" w:cs="Tahoma"/>
        </w:rPr>
        <w:t>/</w:t>
      </w:r>
      <w:r w:rsidR="00820DC6">
        <w:rPr>
          <w:rFonts w:ascii="Tahoma" w:hAnsi="Tahoma" w:cs="Tahoma"/>
        </w:rPr>
        <w:t>04</w:t>
      </w:r>
      <w:r w:rsidR="003B5332" w:rsidRPr="00BA3CFB">
        <w:rPr>
          <w:rFonts w:ascii="Tahoma" w:hAnsi="Tahoma" w:cs="Tahoma"/>
        </w:rPr>
        <w:t>/20</w:t>
      </w:r>
      <w:r w:rsidR="00820DC6">
        <w:rPr>
          <w:rFonts w:ascii="Tahoma" w:hAnsi="Tahoma" w:cs="Tahoma"/>
        </w:rPr>
        <w:t>21</w:t>
      </w:r>
    </w:p>
    <w:p w:rsidR="00D52EA2" w:rsidRPr="00F21E9C" w:rsidRDefault="00D52EA2" w:rsidP="00740778">
      <w:pPr>
        <w:autoSpaceDE w:val="0"/>
        <w:autoSpaceDN w:val="0"/>
        <w:adjustRightInd w:val="0"/>
        <w:spacing w:after="0"/>
        <w:jc w:val="both"/>
        <w:rPr>
          <w:rFonts w:ascii="Tahoma" w:hAnsi="Tahoma" w:cs="Tahoma"/>
          <w:sz w:val="20"/>
          <w:szCs w:val="20"/>
        </w:rPr>
      </w:pPr>
    </w:p>
    <w:p w:rsidR="00192CF1" w:rsidRPr="00F21E9C" w:rsidRDefault="00192CF1" w:rsidP="00740778">
      <w:pPr>
        <w:autoSpaceDE w:val="0"/>
        <w:autoSpaceDN w:val="0"/>
        <w:adjustRightInd w:val="0"/>
        <w:spacing w:after="0"/>
        <w:rPr>
          <w:rFonts w:ascii="Tahoma" w:hAnsi="Tahoma" w:cs="Tahoma"/>
          <w:b/>
          <w:bCs/>
          <w:i/>
          <w:iCs/>
          <w:sz w:val="28"/>
          <w:szCs w:val="28"/>
        </w:rPr>
      </w:pPr>
    </w:p>
    <w:p w:rsidR="00D52EA2" w:rsidRPr="00F21E9C" w:rsidRDefault="00D52EA2" w:rsidP="00740778">
      <w:pPr>
        <w:autoSpaceDE w:val="0"/>
        <w:autoSpaceDN w:val="0"/>
        <w:adjustRightInd w:val="0"/>
        <w:spacing w:after="0"/>
        <w:rPr>
          <w:rFonts w:ascii="Tahoma" w:hAnsi="Tahoma" w:cs="Tahoma"/>
          <w:b/>
          <w:bCs/>
          <w:color w:val="00B050"/>
          <w:sz w:val="28"/>
          <w:szCs w:val="28"/>
        </w:rPr>
      </w:pPr>
      <w:r w:rsidRPr="00F21E9C">
        <w:rPr>
          <w:rFonts w:ascii="Tahoma" w:hAnsi="Tahoma" w:cs="Tahoma"/>
          <w:b/>
          <w:bCs/>
          <w:i/>
          <w:iCs/>
          <w:sz w:val="28"/>
          <w:szCs w:val="28"/>
        </w:rPr>
        <w:t xml:space="preserve">FANDOM </w:t>
      </w:r>
      <w:r w:rsidRPr="00F21E9C">
        <w:rPr>
          <w:rFonts w:ascii="Tahoma" w:hAnsi="Tahoma" w:cs="Tahoma"/>
          <w:b/>
          <w:bCs/>
          <w:sz w:val="28"/>
          <w:szCs w:val="28"/>
        </w:rPr>
        <w:t>TELEVISIVO. ESTUDIO DE SU IMPACTO EN LA ESTRATEGIA DE COMUNICACIÓN EN REDES SOCIALES DE NETFLIX</w:t>
      </w:r>
    </w:p>
    <w:p w:rsidR="00D52EA2" w:rsidRPr="00F21E9C" w:rsidRDefault="00D52EA2" w:rsidP="00740778">
      <w:pPr>
        <w:autoSpaceDE w:val="0"/>
        <w:autoSpaceDN w:val="0"/>
        <w:adjustRightInd w:val="0"/>
        <w:spacing w:after="0"/>
        <w:rPr>
          <w:rFonts w:ascii="Tahoma" w:hAnsi="Tahoma" w:cs="Tahoma"/>
          <w:b/>
          <w:bCs/>
          <w:sz w:val="28"/>
          <w:szCs w:val="28"/>
        </w:rPr>
      </w:pPr>
    </w:p>
    <w:p w:rsidR="00D52EA2" w:rsidRPr="00F21E9C" w:rsidRDefault="00D52EA2" w:rsidP="00740778">
      <w:pPr>
        <w:autoSpaceDE w:val="0"/>
        <w:autoSpaceDN w:val="0"/>
        <w:adjustRightInd w:val="0"/>
        <w:spacing w:after="0"/>
        <w:rPr>
          <w:rFonts w:ascii="Tahoma" w:hAnsi="Tahoma" w:cs="Tahoma"/>
          <w:b/>
          <w:bCs/>
          <w:color w:val="00B050"/>
          <w:sz w:val="28"/>
          <w:szCs w:val="28"/>
          <w:lang w:val="en-GB"/>
        </w:rPr>
      </w:pPr>
      <w:r w:rsidRPr="00C9773A">
        <w:rPr>
          <w:rFonts w:ascii="Tahoma" w:hAnsi="Tahoma" w:cs="Tahoma"/>
          <w:b/>
          <w:bCs/>
          <w:sz w:val="28"/>
          <w:szCs w:val="28"/>
          <w:lang w:val="en-GB"/>
        </w:rPr>
        <w:t xml:space="preserve">TELEVISION FANDOM. </w:t>
      </w:r>
      <w:r w:rsidRPr="00F21E9C">
        <w:rPr>
          <w:rFonts w:ascii="Tahoma" w:hAnsi="Tahoma" w:cs="Tahoma"/>
          <w:b/>
          <w:bCs/>
          <w:sz w:val="28"/>
          <w:szCs w:val="28"/>
          <w:lang w:val="en-GB"/>
        </w:rPr>
        <w:t>STUDY OF ITS IMPACT ON THE NETFLIX´S SOCIAL MEDIA COMMUNICATION STRATEGY</w:t>
      </w:r>
    </w:p>
    <w:p w:rsidR="00D52EA2" w:rsidRPr="00C9773A" w:rsidRDefault="00D52EA2" w:rsidP="00740778">
      <w:pPr>
        <w:tabs>
          <w:tab w:val="left" w:pos="6235"/>
          <w:tab w:val="left" w:pos="8800"/>
        </w:tabs>
        <w:spacing w:after="0"/>
        <w:rPr>
          <w:rFonts w:ascii="Tahoma" w:hAnsi="Tahoma" w:cs="Tahoma"/>
          <w:b/>
          <w:bCs/>
          <w:w w:val="96"/>
          <w:sz w:val="24"/>
          <w:szCs w:val="24"/>
          <w:lang w:val="en-GB"/>
        </w:rPr>
      </w:pPr>
    </w:p>
    <w:p w:rsidR="00D52EA2" w:rsidRPr="00D75DAB" w:rsidRDefault="00467539" w:rsidP="00740778">
      <w:pPr>
        <w:autoSpaceDE w:val="0"/>
        <w:autoSpaceDN w:val="0"/>
        <w:adjustRightInd w:val="0"/>
        <w:spacing w:after="0"/>
        <w:jc w:val="both"/>
        <w:rPr>
          <w:rFonts w:ascii="Tahoma" w:hAnsi="Tahoma" w:cs="Tahoma"/>
          <w:sz w:val="24"/>
          <w:szCs w:val="24"/>
        </w:rPr>
      </w:pPr>
      <w:hyperlink r:id="rId11" w:history="1">
        <w:r>
          <w:rPr>
            <w:rFonts w:ascii="Tahoma" w:hAnsi="Tahoma" w:cs="Tahoma"/>
            <w:noProof/>
            <w:sz w:val="24"/>
            <w:szCs w:val="24"/>
            <w:lang w:val="es-CL" w:eastAsia="es-CL"/>
          </w:rPr>
          <w:pict w14:anchorId="5833E3F2">
            <v:shape id="_x0000_i1026" type="#_x0000_t75" alt="descarga" href="http://orcid.org/0000-0002-6103-6993" style="width:11.8pt;height:11.8pt;visibility:visible;mso-wrap-style:square" o:button="t">
              <v:fill o:detectmouseclick="t"/>
              <v:imagedata r:id="rId12" o:title="descarga"/>
            </v:shape>
          </w:pict>
        </w:r>
      </w:hyperlink>
      <w:r w:rsidR="00D75DAB" w:rsidRPr="00D75DAB">
        <w:rPr>
          <w:rFonts w:ascii="Tahoma" w:hAnsi="Tahoma" w:cs="Tahoma"/>
          <w:sz w:val="24"/>
          <w:szCs w:val="24"/>
        </w:rPr>
        <w:t xml:space="preserve"> </w:t>
      </w:r>
      <w:r w:rsidR="00D75DAB" w:rsidRPr="00D75DAB">
        <w:rPr>
          <w:rFonts w:ascii="Tahoma" w:hAnsi="Tahoma" w:cs="Tahoma"/>
          <w:bCs/>
          <w:noProof/>
          <w:sz w:val="24"/>
          <w:szCs w:val="24"/>
          <w:lang w:val="es-ES_tradnl" w:eastAsia="es-ES_tradnl"/>
        </w:rPr>
        <w:drawing>
          <wp:inline distT="0" distB="0" distL="0" distR="0" wp14:anchorId="1458B03C" wp14:editId="591A7D5D">
            <wp:extent cx="152400" cy="152400"/>
            <wp:effectExtent l="0" t="0" r="0" b="0"/>
            <wp:docPr id="1" name="0 Imag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D75DAB" w:rsidRPr="00D75DAB">
        <w:rPr>
          <w:rFonts w:ascii="Tahoma" w:hAnsi="Tahoma" w:cs="Tahoma"/>
          <w:sz w:val="24"/>
          <w:szCs w:val="24"/>
        </w:rPr>
        <w:t xml:space="preserve"> </w:t>
      </w:r>
      <w:r w:rsidR="00D52EA2" w:rsidRPr="00D75DAB">
        <w:rPr>
          <w:rFonts w:ascii="Tahoma" w:hAnsi="Tahoma" w:cs="Tahoma"/>
          <w:b/>
          <w:bCs/>
          <w:sz w:val="24"/>
          <w:szCs w:val="24"/>
        </w:rPr>
        <w:t>Alba-María Martínez-Sala</w:t>
      </w:r>
      <w:r w:rsidR="00D52EA2" w:rsidRPr="00D75DAB">
        <w:rPr>
          <w:rStyle w:val="Refdenotaalpie"/>
          <w:rFonts w:ascii="Tahoma" w:hAnsi="Tahoma" w:cs="Tahoma"/>
          <w:sz w:val="24"/>
          <w:szCs w:val="24"/>
        </w:rPr>
        <w:footnoteReference w:id="1"/>
      </w:r>
      <w:r w:rsidR="00D52EA2" w:rsidRPr="00D75DAB">
        <w:rPr>
          <w:rFonts w:ascii="Tahoma" w:hAnsi="Tahoma" w:cs="Tahoma"/>
          <w:b/>
          <w:bCs/>
          <w:sz w:val="24"/>
          <w:szCs w:val="24"/>
        </w:rPr>
        <w:t>:</w:t>
      </w:r>
      <w:r w:rsidR="00D52EA2" w:rsidRPr="00D75DAB">
        <w:rPr>
          <w:rFonts w:ascii="Tahoma" w:hAnsi="Tahoma" w:cs="Tahoma"/>
          <w:sz w:val="24"/>
          <w:szCs w:val="24"/>
        </w:rPr>
        <w:t xml:space="preserve"> Universidad de Alicante. España. </w:t>
      </w:r>
    </w:p>
    <w:p w:rsidR="00D52EA2" w:rsidRDefault="00467539" w:rsidP="00740778">
      <w:pPr>
        <w:autoSpaceDE w:val="0"/>
        <w:autoSpaceDN w:val="0"/>
        <w:adjustRightInd w:val="0"/>
        <w:spacing w:after="0"/>
        <w:jc w:val="both"/>
        <w:rPr>
          <w:rFonts w:ascii="Tahoma" w:hAnsi="Tahoma" w:cs="Tahoma"/>
          <w:sz w:val="24"/>
          <w:szCs w:val="24"/>
        </w:rPr>
      </w:pPr>
      <w:hyperlink r:id="rId15" w:history="1">
        <w:r w:rsidR="00D52EA2" w:rsidRPr="00D75DAB">
          <w:rPr>
            <w:rFonts w:ascii="Tahoma" w:hAnsi="Tahoma" w:cs="Tahoma"/>
            <w:color w:val="0000FF"/>
            <w:sz w:val="24"/>
            <w:szCs w:val="24"/>
            <w:u w:val="single"/>
          </w:rPr>
          <w:t>albamaria.martinez@ua.es</w:t>
        </w:r>
      </w:hyperlink>
    </w:p>
    <w:p w:rsidR="001777FE" w:rsidRPr="00D75DAB" w:rsidRDefault="001777FE" w:rsidP="00740778">
      <w:pPr>
        <w:autoSpaceDE w:val="0"/>
        <w:autoSpaceDN w:val="0"/>
        <w:adjustRightInd w:val="0"/>
        <w:spacing w:after="0"/>
        <w:jc w:val="both"/>
        <w:rPr>
          <w:rFonts w:ascii="Tahoma" w:hAnsi="Tahoma" w:cs="Tahoma"/>
          <w:bCs/>
          <w:color w:val="0000FF"/>
          <w:sz w:val="24"/>
          <w:szCs w:val="24"/>
          <w:u w:val="single"/>
        </w:rPr>
      </w:pPr>
    </w:p>
    <w:p w:rsidR="00D52EA2" w:rsidRPr="00D75DAB" w:rsidRDefault="00D75DAB" w:rsidP="00740778">
      <w:pPr>
        <w:autoSpaceDE w:val="0"/>
        <w:autoSpaceDN w:val="0"/>
        <w:adjustRightInd w:val="0"/>
        <w:spacing w:after="0"/>
        <w:jc w:val="both"/>
        <w:rPr>
          <w:rFonts w:ascii="Tahoma" w:hAnsi="Tahoma" w:cs="Tahoma"/>
          <w:sz w:val="24"/>
          <w:szCs w:val="24"/>
        </w:rPr>
      </w:pPr>
      <w:r w:rsidRPr="00D75DAB">
        <w:rPr>
          <w:rFonts w:ascii="Tahoma" w:hAnsi="Tahoma" w:cs="Tahoma"/>
          <w:noProof/>
          <w:sz w:val="24"/>
          <w:szCs w:val="24"/>
          <w:lang w:val="es-ES_tradnl" w:eastAsia="es-ES_tradnl"/>
        </w:rPr>
        <w:drawing>
          <wp:inline distT="0" distB="0" distL="0" distR="0" wp14:anchorId="2D013DE4" wp14:editId="4D536CA2">
            <wp:extent cx="152400" cy="152400"/>
            <wp:effectExtent l="0" t="0" r="0" b="0"/>
            <wp:docPr id="5" name="Imagen 5" descr="descarg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escarga">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5DAB">
        <w:rPr>
          <w:rFonts w:ascii="Tahoma" w:hAnsi="Tahoma" w:cs="Tahoma"/>
          <w:sz w:val="24"/>
          <w:szCs w:val="24"/>
        </w:rPr>
        <w:t xml:space="preserve"> </w:t>
      </w:r>
      <w:r w:rsidRPr="00D75DAB">
        <w:rPr>
          <w:rFonts w:ascii="Tahoma" w:hAnsi="Tahoma" w:cs="Tahoma"/>
          <w:bCs/>
          <w:noProof/>
          <w:sz w:val="24"/>
          <w:szCs w:val="24"/>
          <w:lang w:val="es-ES_tradnl" w:eastAsia="es-ES_tradnl"/>
        </w:rPr>
        <w:drawing>
          <wp:inline distT="0" distB="0" distL="0" distR="0" wp14:anchorId="37A6F85F" wp14:editId="2F28A0D9">
            <wp:extent cx="152400" cy="152400"/>
            <wp:effectExtent l="0" t="0" r="0" b="0"/>
            <wp:docPr id="3" name="0 Imag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a:hlinkClick r:id="rId18"/>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75DAB">
        <w:rPr>
          <w:rFonts w:ascii="Tahoma" w:hAnsi="Tahoma" w:cs="Tahoma"/>
          <w:sz w:val="24"/>
          <w:szCs w:val="24"/>
        </w:rPr>
        <w:t xml:space="preserve"> </w:t>
      </w:r>
      <w:r w:rsidR="00D52EA2" w:rsidRPr="00D75DAB">
        <w:rPr>
          <w:rFonts w:ascii="Tahoma" w:hAnsi="Tahoma" w:cs="Tahoma"/>
          <w:b/>
          <w:bCs/>
          <w:sz w:val="24"/>
          <w:szCs w:val="24"/>
        </w:rPr>
        <w:t xml:space="preserve">Almudena Barrientos-Báez: </w:t>
      </w:r>
      <w:r w:rsidR="00D52EA2" w:rsidRPr="00D75DAB">
        <w:rPr>
          <w:rFonts w:ascii="Tahoma" w:hAnsi="Tahoma" w:cs="Tahoma"/>
          <w:sz w:val="24"/>
          <w:szCs w:val="24"/>
        </w:rPr>
        <w:t>Escuela Univer</w:t>
      </w:r>
      <w:r w:rsidR="001777FE">
        <w:rPr>
          <w:rFonts w:ascii="Tahoma" w:hAnsi="Tahoma" w:cs="Tahoma"/>
          <w:sz w:val="24"/>
          <w:szCs w:val="24"/>
        </w:rPr>
        <w:t>sitaria de Turismo Iriarte</w:t>
      </w:r>
      <w:r w:rsidR="00D52EA2" w:rsidRPr="00D75DAB">
        <w:rPr>
          <w:rFonts w:ascii="Tahoma" w:hAnsi="Tahoma" w:cs="Tahoma"/>
          <w:sz w:val="24"/>
          <w:szCs w:val="24"/>
        </w:rPr>
        <w:t>. España.</w:t>
      </w:r>
    </w:p>
    <w:p w:rsidR="00D52EA2" w:rsidRDefault="00467539" w:rsidP="00740778">
      <w:pPr>
        <w:autoSpaceDE w:val="0"/>
        <w:autoSpaceDN w:val="0"/>
        <w:adjustRightInd w:val="0"/>
        <w:spacing w:after="0"/>
        <w:jc w:val="both"/>
        <w:rPr>
          <w:rStyle w:val="Hipervnculo"/>
          <w:rFonts w:ascii="Tahoma" w:hAnsi="Tahoma" w:cs="Tahoma"/>
          <w:sz w:val="24"/>
          <w:szCs w:val="24"/>
        </w:rPr>
      </w:pPr>
      <w:hyperlink r:id="rId19" w:history="1">
        <w:r w:rsidR="00D52EA2" w:rsidRPr="00D75DAB">
          <w:rPr>
            <w:rStyle w:val="Hipervnculo"/>
            <w:rFonts w:ascii="Tahoma" w:hAnsi="Tahoma" w:cs="Tahoma"/>
            <w:sz w:val="24"/>
            <w:szCs w:val="24"/>
          </w:rPr>
          <w:t>almudenabarrientos@iriarteuniversidad.es</w:t>
        </w:r>
      </w:hyperlink>
    </w:p>
    <w:p w:rsidR="001777FE" w:rsidRPr="00D75DAB" w:rsidRDefault="001777FE" w:rsidP="00740778">
      <w:pPr>
        <w:autoSpaceDE w:val="0"/>
        <w:autoSpaceDN w:val="0"/>
        <w:adjustRightInd w:val="0"/>
        <w:spacing w:after="0"/>
        <w:jc w:val="both"/>
        <w:rPr>
          <w:rFonts w:ascii="Tahoma" w:hAnsi="Tahoma" w:cs="Tahoma"/>
          <w:b/>
          <w:bCs/>
          <w:color w:val="FF0000"/>
          <w:spacing w:val="-2"/>
          <w:sz w:val="24"/>
          <w:szCs w:val="24"/>
        </w:rPr>
      </w:pPr>
    </w:p>
    <w:p w:rsidR="00D52EA2" w:rsidRPr="00D75DAB" w:rsidRDefault="00D75DAB" w:rsidP="00740778">
      <w:pPr>
        <w:autoSpaceDE w:val="0"/>
        <w:autoSpaceDN w:val="0"/>
        <w:adjustRightInd w:val="0"/>
        <w:spacing w:after="0"/>
        <w:jc w:val="both"/>
        <w:rPr>
          <w:rFonts w:ascii="Tahoma" w:hAnsi="Tahoma" w:cs="Tahoma"/>
          <w:bCs/>
          <w:spacing w:val="-2"/>
          <w:sz w:val="24"/>
          <w:szCs w:val="24"/>
        </w:rPr>
      </w:pPr>
      <w:r w:rsidRPr="00D75DAB">
        <w:rPr>
          <w:rFonts w:ascii="Tahoma" w:hAnsi="Tahoma" w:cs="Tahoma"/>
          <w:noProof/>
          <w:sz w:val="24"/>
          <w:szCs w:val="24"/>
          <w:lang w:val="es-ES_tradnl" w:eastAsia="es-ES_tradnl"/>
        </w:rPr>
        <w:drawing>
          <wp:inline distT="0" distB="0" distL="0" distR="0" wp14:anchorId="260A60CA" wp14:editId="3B5355B2">
            <wp:extent cx="152400" cy="152400"/>
            <wp:effectExtent l="0" t="0" r="0" b="0"/>
            <wp:docPr id="8" name="Imagen 8" descr="descarg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escarga">
                      <a:hlinkClick r:id="rId20"/>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5DAB">
        <w:rPr>
          <w:rFonts w:ascii="Tahoma" w:hAnsi="Tahoma" w:cs="Tahoma"/>
          <w:sz w:val="24"/>
          <w:szCs w:val="24"/>
        </w:rPr>
        <w:t xml:space="preserve"> </w:t>
      </w:r>
      <w:r w:rsidRPr="00D75DAB">
        <w:rPr>
          <w:rFonts w:ascii="Tahoma" w:hAnsi="Tahoma" w:cs="Tahoma"/>
          <w:bCs/>
          <w:noProof/>
          <w:sz w:val="24"/>
          <w:szCs w:val="24"/>
          <w:lang w:val="es-ES_tradnl" w:eastAsia="es-ES_tradnl"/>
        </w:rPr>
        <w:drawing>
          <wp:inline distT="0" distB="0" distL="0" distR="0" wp14:anchorId="03E9A737" wp14:editId="55F3F6DA">
            <wp:extent cx="152400" cy="152400"/>
            <wp:effectExtent l="0" t="0" r="0" b="0"/>
            <wp:docPr id="7" name="0 Imag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a:hlinkClick r:id="rId21"/>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75DAB">
        <w:rPr>
          <w:rFonts w:ascii="Tahoma" w:hAnsi="Tahoma" w:cs="Tahoma"/>
          <w:sz w:val="24"/>
          <w:szCs w:val="24"/>
        </w:rPr>
        <w:t xml:space="preserve"> </w:t>
      </w:r>
      <w:r w:rsidR="00D52EA2" w:rsidRPr="00D75DAB">
        <w:rPr>
          <w:rFonts w:ascii="Tahoma" w:hAnsi="Tahoma" w:cs="Tahoma"/>
          <w:b/>
          <w:bCs/>
          <w:spacing w:val="-2"/>
          <w:sz w:val="24"/>
          <w:szCs w:val="24"/>
        </w:rPr>
        <w:t>David Caldevilla-Domínguez:</w:t>
      </w:r>
      <w:r w:rsidR="00D52EA2" w:rsidRPr="00D75DAB">
        <w:rPr>
          <w:rFonts w:ascii="Tahoma" w:hAnsi="Tahoma" w:cs="Tahoma"/>
          <w:bCs/>
          <w:spacing w:val="-2"/>
          <w:sz w:val="24"/>
          <w:szCs w:val="24"/>
        </w:rPr>
        <w:t xml:space="preserve"> Univers</w:t>
      </w:r>
      <w:r w:rsidR="001777FE">
        <w:rPr>
          <w:rFonts w:ascii="Tahoma" w:hAnsi="Tahoma" w:cs="Tahoma"/>
          <w:bCs/>
          <w:spacing w:val="-2"/>
          <w:sz w:val="24"/>
          <w:szCs w:val="24"/>
        </w:rPr>
        <w:t>idad Complutense de Madrid</w:t>
      </w:r>
      <w:r w:rsidR="00D52EA2" w:rsidRPr="00D75DAB">
        <w:rPr>
          <w:rFonts w:ascii="Tahoma" w:hAnsi="Tahoma" w:cs="Tahoma"/>
          <w:bCs/>
          <w:spacing w:val="-2"/>
          <w:sz w:val="24"/>
          <w:szCs w:val="24"/>
        </w:rPr>
        <w:t>. España.</w:t>
      </w:r>
    </w:p>
    <w:p w:rsidR="00D52EA2" w:rsidRPr="00D75DAB" w:rsidRDefault="00467539" w:rsidP="00740778">
      <w:pPr>
        <w:autoSpaceDE w:val="0"/>
        <w:autoSpaceDN w:val="0"/>
        <w:adjustRightInd w:val="0"/>
        <w:spacing w:after="0"/>
        <w:jc w:val="both"/>
        <w:rPr>
          <w:rFonts w:ascii="Tahoma" w:hAnsi="Tahoma" w:cs="Tahoma"/>
          <w:bCs/>
          <w:spacing w:val="-2"/>
          <w:sz w:val="24"/>
          <w:szCs w:val="24"/>
        </w:rPr>
      </w:pPr>
      <w:hyperlink r:id="rId22" w:history="1">
        <w:r w:rsidR="00D52EA2" w:rsidRPr="00D75DAB">
          <w:rPr>
            <w:rStyle w:val="Hipervnculo"/>
            <w:rFonts w:ascii="Tahoma" w:hAnsi="Tahoma" w:cs="Tahoma"/>
            <w:bCs/>
            <w:spacing w:val="-2"/>
            <w:sz w:val="24"/>
            <w:szCs w:val="24"/>
          </w:rPr>
          <w:t>davidcaldevilla@ccinf.ucm.es</w:t>
        </w:r>
      </w:hyperlink>
    </w:p>
    <w:p w:rsidR="00D52EA2" w:rsidRDefault="00D52EA2" w:rsidP="00740778">
      <w:pPr>
        <w:autoSpaceDE w:val="0"/>
        <w:autoSpaceDN w:val="0"/>
        <w:adjustRightInd w:val="0"/>
        <w:spacing w:after="0"/>
        <w:jc w:val="both"/>
        <w:rPr>
          <w:rFonts w:ascii="Tahoma" w:hAnsi="Tahoma" w:cs="Tahoma"/>
          <w:bCs/>
          <w:spacing w:val="-2"/>
          <w:sz w:val="24"/>
          <w:szCs w:val="24"/>
        </w:rPr>
      </w:pPr>
    </w:p>
    <w:p w:rsidR="00002CA6" w:rsidRPr="00F21E9C" w:rsidRDefault="00002CA6" w:rsidP="00002CA6">
      <w:pPr>
        <w:autoSpaceDE w:val="0"/>
        <w:autoSpaceDN w:val="0"/>
        <w:adjustRightInd w:val="0"/>
        <w:spacing w:after="0"/>
        <w:jc w:val="both"/>
        <w:rPr>
          <w:rFonts w:ascii="Tahoma" w:hAnsi="Tahoma" w:cs="Tahoma"/>
          <w:bCs/>
          <w:i/>
          <w:color w:val="FF0000"/>
          <w:sz w:val="20"/>
          <w:szCs w:val="24"/>
        </w:rPr>
      </w:pPr>
      <w:r>
        <w:rPr>
          <w:rFonts w:ascii="Tahoma" w:hAnsi="Tahoma" w:cs="Tahoma"/>
          <w:bCs/>
          <w:i/>
          <w:sz w:val="20"/>
          <w:szCs w:val="24"/>
        </w:rPr>
        <w:t xml:space="preserve">Agradecimientos. </w:t>
      </w:r>
      <w:r w:rsidRPr="009B5769">
        <w:rPr>
          <w:rFonts w:ascii="Tahoma" w:hAnsi="Tahoma" w:cs="Tahoma"/>
          <w:bCs/>
          <w:i/>
          <w:sz w:val="20"/>
          <w:szCs w:val="24"/>
        </w:rPr>
        <w:t xml:space="preserve">El presente trabajo contó con la financiación de los grupos de investigación Marketing Experiencial, Eventos y Comunicación Integrada (MAE-CO) y </w:t>
      </w:r>
      <w:proofErr w:type="spellStart"/>
      <w:r w:rsidRPr="009B5769">
        <w:rPr>
          <w:rFonts w:ascii="Tahoma" w:hAnsi="Tahoma" w:cs="Tahoma"/>
          <w:bCs/>
          <w:i/>
          <w:sz w:val="20"/>
          <w:szCs w:val="24"/>
        </w:rPr>
        <w:t>Ageing</w:t>
      </w:r>
      <w:proofErr w:type="spellEnd"/>
      <w:r w:rsidRPr="009B5769">
        <w:rPr>
          <w:rFonts w:ascii="Tahoma" w:hAnsi="Tahoma" w:cs="Tahoma"/>
          <w:bCs/>
          <w:i/>
          <w:sz w:val="20"/>
          <w:szCs w:val="24"/>
        </w:rPr>
        <w:t xml:space="preserve"> &amp; </w:t>
      </w:r>
      <w:proofErr w:type="spellStart"/>
      <w:r w:rsidRPr="009B5769">
        <w:rPr>
          <w:rFonts w:ascii="Tahoma" w:hAnsi="Tahoma" w:cs="Tahoma"/>
          <w:bCs/>
          <w:i/>
          <w:sz w:val="20"/>
          <w:szCs w:val="24"/>
        </w:rPr>
        <w:t>Communication</w:t>
      </w:r>
      <w:proofErr w:type="spellEnd"/>
      <w:r w:rsidRPr="009B5769">
        <w:rPr>
          <w:rFonts w:ascii="Tahoma" w:hAnsi="Tahoma" w:cs="Tahoma"/>
          <w:bCs/>
          <w:i/>
          <w:sz w:val="20"/>
          <w:szCs w:val="24"/>
        </w:rPr>
        <w:t xml:space="preserve"> (</w:t>
      </w:r>
      <w:proofErr w:type="spellStart"/>
      <w:r w:rsidRPr="009B5769">
        <w:rPr>
          <w:rFonts w:ascii="Tahoma" w:hAnsi="Tahoma" w:cs="Tahoma"/>
          <w:bCs/>
          <w:i/>
          <w:sz w:val="20"/>
          <w:szCs w:val="24"/>
        </w:rPr>
        <w:t>AgeCOM</w:t>
      </w:r>
      <w:proofErr w:type="spellEnd"/>
      <w:r w:rsidRPr="009B5769">
        <w:rPr>
          <w:rFonts w:ascii="Tahoma" w:hAnsi="Tahoma" w:cs="Tahoma"/>
          <w:bCs/>
          <w:i/>
          <w:sz w:val="20"/>
          <w:szCs w:val="24"/>
        </w:rPr>
        <w:t>), de la Universidad de Alicante.</w:t>
      </w:r>
      <w:r w:rsidRPr="00F21E9C">
        <w:rPr>
          <w:rFonts w:ascii="Tahoma" w:hAnsi="Tahoma" w:cs="Tahoma"/>
          <w:bCs/>
          <w:i/>
          <w:color w:val="FF0000"/>
          <w:sz w:val="20"/>
          <w:szCs w:val="24"/>
        </w:rPr>
        <w:t xml:space="preserve"> </w:t>
      </w:r>
    </w:p>
    <w:p w:rsidR="00002CA6" w:rsidRPr="009B5769" w:rsidRDefault="00002CA6" w:rsidP="00002CA6">
      <w:pPr>
        <w:autoSpaceDE w:val="0"/>
        <w:autoSpaceDN w:val="0"/>
        <w:adjustRightInd w:val="0"/>
        <w:spacing w:after="0"/>
        <w:jc w:val="both"/>
        <w:rPr>
          <w:rFonts w:ascii="Tahoma" w:hAnsi="Tahoma" w:cs="Tahoma"/>
          <w:color w:val="00B050"/>
          <w:sz w:val="24"/>
          <w:szCs w:val="24"/>
        </w:rPr>
      </w:pPr>
    </w:p>
    <w:p w:rsidR="00002CA6" w:rsidRPr="00F21E9C" w:rsidRDefault="00002CA6" w:rsidP="00002CA6">
      <w:pPr>
        <w:tabs>
          <w:tab w:val="left" w:pos="8800"/>
        </w:tabs>
        <w:spacing w:after="0"/>
        <w:jc w:val="both"/>
        <w:rPr>
          <w:rFonts w:ascii="Tahoma" w:hAnsi="Tahoma" w:cs="Tahoma"/>
          <w:b/>
          <w:sz w:val="24"/>
          <w:szCs w:val="24"/>
        </w:rPr>
      </w:pPr>
      <w:r w:rsidRPr="00F21E9C">
        <w:rPr>
          <w:rFonts w:ascii="Tahoma" w:hAnsi="Tahoma" w:cs="Tahoma"/>
          <w:b/>
          <w:sz w:val="24"/>
          <w:szCs w:val="24"/>
        </w:rPr>
        <w:t>Cómo citar el artículo:</w:t>
      </w:r>
    </w:p>
    <w:p w:rsidR="00002CA6" w:rsidRPr="00E910EF" w:rsidRDefault="00002CA6" w:rsidP="00820DC6">
      <w:pPr>
        <w:pBdr>
          <w:top w:val="single" w:sz="4" w:space="1" w:color="auto"/>
          <w:left w:val="single" w:sz="4" w:space="4" w:color="auto"/>
          <w:bottom w:val="single" w:sz="4" w:space="1" w:color="auto"/>
          <w:right w:val="single" w:sz="4" w:space="4" w:color="auto"/>
        </w:pBdr>
        <w:spacing w:after="0"/>
        <w:jc w:val="both"/>
        <w:rPr>
          <w:rFonts w:ascii="Tahoma" w:hAnsi="Tahoma" w:cs="Tahoma"/>
          <w:bCs/>
          <w:i/>
          <w:sz w:val="24"/>
          <w:szCs w:val="24"/>
        </w:rPr>
      </w:pPr>
      <w:r w:rsidRPr="00F21E9C">
        <w:rPr>
          <w:rFonts w:ascii="Tahoma" w:hAnsi="Tahoma" w:cs="Tahoma"/>
          <w:bCs/>
          <w:sz w:val="24"/>
          <w:szCs w:val="24"/>
        </w:rPr>
        <w:t xml:space="preserve">Martínez Sala, A. M., Barrientos-Báez, A. </w:t>
      </w:r>
      <w:r w:rsidR="00FE6BC5">
        <w:rPr>
          <w:rFonts w:ascii="Tahoma" w:hAnsi="Tahoma" w:cs="Tahoma"/>
          <w:bCs/>
          <w:sz w:val="24"/>
          <w:szCs w:val="24"/>
        </w:rPr>
        <w:t>y Caldevilla-Domínguez, D. (2021</w:t>
      </w:r>
      <w:r w:rsidRPr="00F21E9C">
        <w:rPr>
          <w:rFonts w:ascii="Tahoma" w:hAnsi="Tahoma" w:cs="Tahoma"/>
          <w:bCs/>
          <w:sz w:val="24"/>
          <w:szCs w:val="24"/>
        </w:rPr>
        <w:t>).</w:t>
      </w:r>
      <w:r w:rsidRPr="00F21E9C">
        <w:rPr>
          <w:rFonts w:ascii="Tahoma" w:hAnsi="Tahoma" w:cs="Tahoma"/>
          <w:b/>
          <w:bCs/>
          <w:sz w:val="24"/>
          <w:szCs w:val="24"/>
        </w:rPr>
        <w:t xml:space="preserve"> </w:t>
      </w:r>
      <w:proofErr w:type="spellStart"/>
      <w:r w:rsidRPr="00F21E9C">
        <w:rPr>
          <w:rFonts w:ascii="Tahoma" w:hAnsi="Tahoma" w:cs="Tahoma"/>
          <w:bCs/>
          <w:i/>
          <w:sz w:val="24"/>
          <w:szCs w:val="24"/>
        </w:rPr>
        <w:t>Fandom</w:t>
      </w:r>
      <w:proofErr w:type="spellEnd"/>
      <w:r w:rsidRPr="00F21E9C">
        <w:rPr>
          <w:rFonts w:ascii="Tahoma" w:hAnsi="Tahoma" w:cs="Tahoma"/>
          <w:bCs/>
          <w:i/>
          <w:sz w:val="24"/>
          <w:szCs w:val="24"/>
        </w:rPr>
        <w:t xml:space="preserve"> </w:t>
      </w:r>
      <w:r w:rsidRPr="00F21E9C">
        <w:rPr>
          <w:rFonts w:ascii="Tahoma" w:hAnsi="Tahoma" w:cs="Tahoma"/>
          <w:bCs/>
          <w:sz w:val="24"/>
          <w:szCs w:val="24"/>
        </w:rPr>
        <w:t>televisivo. Estudio de su impacto en la estrategia de comunicació</w:t>
      </w:r>
      <w:r w:rsidR="00820DC6">
        <w:rPr>
          <w:rFonts w:ascii="Tahoma" w:hAnsi="Tahoma" w:cs="Tahoma"/>
          <w:bCs/>
          <w:sz w:val="24"/>
          <w:szCs w:val="24"/>
        </w:rPr>
        <w:t xml:space="preserve">n en redes sociales de </w:t>
      </w:r>
      <w:proofErr w:type="spellStart"/>
      <w:r w:rsidR="00820DC6">
        <w:rPr>
          <w:rFonts w:ascii="Tahoma" w:hAnsi="Tahoma" w:cs="Tahoma"/>
          <w:bCs/>
          <w:sz w:val="24"/>
          <w:szCs w:val="24"/>
        </w:rPr>
        <w:t>Netflix</w:t>
      </w:r>
      <w:proofErr w:type="spellEnd"/>
      <w:r w:rsidR="00820DC6">
        <w:rPr>
          <w:rFonts w:ascii="Tahoma" w:hAnsi="Tahoma" w:cs="Tahoma"/>
          <w:bCs/>
          <w:sz w:val="24"/>
          <w:szCs w:val="24"/>
        </w:rPr>
        <w:t xml:space="preserve">. </w:t>
      </w:r>
      <w:r w:rsidRPr="00F21E9C">
        <w:rPr>
          <w:rFonts w:ascii="Tahoma" w:hAnsi="Tahoma" w:cs="Tahoma"/>
          <w:bCs/>
          <w:i/>
          <w:sz w:val="24"/>
          <w:szCs w:val="24"/>
        </w:rPr>
        <w:t>Revista de Comunicación de la SEECI,</w:t>
      </w:r>
      <w:r w:rsidRPr="00F21E9C">
        <w:rPr>
          <w:rFonts w:ascii="Tahoma" w:hAnsi="Tahoma" w:cs="Tahoma"/>
          <w:bCs/>
          <w:sz w:val="24"/>
          <w:szCs w:val="24"/>
        </w:rPr>
        <w:t xml:space="preserve"> </w:t>
      </w:r>
      <w:r w:rsidR="007E7893">
        <w:rPr>
          <w:rFonts w:ascii="Tahoma" w:hAnsi="Tahoma" w:cs="Tahoma"/>
          <w:bCs/>
          <w:sz w:val="24"/>
          <w:szCs w:val="24"/>
        </w:rPr>
        <w:t>54, 57-80</w:t>
      </w:r>
      <w:r w:rsidR="00820DC6">
        <w:rPr>
          <w:rFonts w:ascii="Tahoma" w:hAnsi="Tahoma" w:cs="Tahoma"/>
          <w:bCs/>
          <w:sz w:val="24"/>
          <w:szCs w:val="24"/>
        </w:rPr>
        <w:t xml:space="preserve">. </w:t>
      </w:r>
      <w:hyperlink r:id="rId23" w:history="1">
        <w:r w:rsidR="00820DC6" w:rsidRPr="00820DC6">
          <w:rPr>
            <w:rStyle w:val="Hipervnculo"/>
            <w:rFonts w:ascii="Tahoma" w:hAnsi="Tahoma" w:cs="Tahoma"/>
            <w:lang w:val="es-ES_tradnl"/>
          </w:rPr>
          <w:t>http://doi.org/10.15198/seeci.2021.54.e689</w:t>
        </w:r>
      </w:hyperlink>
      <w:r w:rsidR="00820DC6" w:rsidRPr="0050630F">
        <w:rPr>
          <w:rFonts w:ascii="Tahoma" w:hAnsi="Tahoma" w:cs="Tahoma"/>
          <w:b/>
          <w:highlight w:val="yellow"/>
          <w:lang w:val="es-ES_tradnl"/>
        </w:rPr>
        <w:t xml:space="preserve">  </w:t>
      </w:r>
    </w:p>
    <w:p w:rsidR="00D75DAB" w:rsidRPr="00740778" w:rsidRDefault="00D75DAB" w:rsidP="00740778">
      <w:pPr>
        <w:autoSpaceDE w:val="0"/>
        <w:autoSpaceDN w:val="0"/>
        <w:adjustRightInd w:val="0"/>
        <w:spacing w:after="0"/>
        <w:jc w:val="both"/>
        <w:rPr>
          <w:rFonts w:ascii="Tahoma" w:hAnsi="Tahoma" w:cs="Tahoma"/>
          <w:b/>
          <w:bCs/>
          <w:color w:val="FF0000"/>
          <w:spacing w:val="-2"/>
          <w:sz w:val="24"/>
          <w:szCs w:val="24"/>
          <w:lang w:val="es-CL"/>
        </w:rPr>
      </w:pPr>
    </w:p>
    <w:p w:rsidR="00D52EA2" w:rsidRPr="00F21E9C" w:rsidRDefault="009B5769" w:rsidP="00740778">
      <w:pPr>
        <w:tabs>
          <w:tab w:val="left" w:pos="6235"/>
          <w:tab w:val="left" w:pos="8800"/>
        </w:tabs>
        <w:spacing w:after="0"/>
        <w:jc w:val="both"/>
        <w:rPr>
          <w:rFonts w:ascii="Tahoma" w:hAnsi="Tahoma" w:cs="Tahoma"/>
          <w:b/>
          <w:bCs/>
          <w:color w:val="000000"/>
          <w:sz w:val="24"/>
          <w:szCs w:val="24"/>
        </w:rPr>
      </w:pPr>
      <w:r>
        <w:rPr>
          <w:rFonts w:ascii="Tahoma" w:hAnsi="Tahoma" w:cs="Tahoma"/>
          <w:b/>
          <w:bCs/>
          <w:color w:val="000000"/>
          <w:sz w:val="24"/>
          <w:szCs w:val="24"/>
        </w:rPr>
        <w:t>RESUMEN</w:t>
      </w:r>
    </w:p>
    <w:p w:rsidR="00D52EA2" w:rsidRPr="00F21E9C" w:rsidRDefault="00D52EA2" w:rsidP="00740778">
      <w:pPr>
        <w:tabs>
          <w:tab w:val="left" w:pos="6235"/>
          <w:tab w:val="left" w:pos="8800"/>
        </w:tabs>
        <w:spacing w:after="0"/>
        <w:jc w:val="both"/>
        <w:rPr>
          <w:rFonts w:ascii="Tahoma" w:hAnsi="Tahoma" w:cs="Tahoma"/>
          <w:b/>
          <w:bCs/>
          <w:color w:val="FF0000"/>
          <w:sz w:val="24"/>
          <w:szCs w:val="24"/>
        </w:rPr>
      </w:pPr>
    </w:p>
    <w:p w:rsidR="00D52EA2" w:rsidRPr="00F21E9C" w:rsidRDefault="00D52EA2" w:rsidP="00740778">
      <w:pPr>
        <w:tabs>
          <w:tab w:val="left" w:pos="6235"/>
          <w:tab w:val="left" w:pos="8800"/>
        </w:tabs>
        <w:spacing w:after="0"/>
        <w:jc w:val="both"/>
        <w:rPr>
          <w:rFonts w:ascii="Tahoma" w:hAnsi="Tahoma" w:cs="Tahoma"/>
          <w:bCs/>
          <w:color w:val="00B050"/>
          <w:sz w:val="24"/>
          <w:szCs w:val="24"/>
        </w:rPr>
      </w:pPr>
      <w:r w:rsidRPr="00F21E9C">
        <w:rPr>
          <w:rFonts w:ascii="Tahoma" w:hAnsi="Tahoma" w:cs="Tahoma"/>
          <w:bCs/>
          <w:color w:val="000000"/>
          <w:sz w:val="24"/>
          <w:szCs w:val="24"/>
        </w:rPr>
        <w:t xml:space="preserve">Las nuevas formas de consumo audiovisual dan protagonismo al </w:t>
      </w:r>
      <w:proofErr w:type="spellStart"/>
      <w:r w:rsidRPr="00F21E9C">
        <w:rPr>
          <w:rFonts w:ascii="Tahoma" w:hAnsi="Tahoma" w:cs="Tahoma"/>
          <w:bCs/>
          <w:i/>
          <w:iCs/>
          <w:color w:val="000000"/>
          <w:sz w:val="24"/>
          <w:szCs w:val="24"/>
        </w:rPr>
        <w:t>fandom</w:t>
      </w:r>
      <w:proofErr w:type="spellEnd"/>
      <w:r w:rsidRPr="00F21E9C">
        <w:rPr>
          <w:rFonts w:ascii="Tahoma" w:hAnsi="Tahoma" w:cs="Tahoma"/>
          <w:bCs/>
          <w:color w:val="000000"/>
          <w:sz w:val="24"/>
          <w:szCs w:val="24"/>
        </w:rPr>
        <w:t xml:space="preserve"> televisivo por el potencial que ofrece a las organizaciones del sector, como </w:t>
      </w:r>
      <w:proofErr w:type="spellStart"/>
      <w:r w:rsidRPr="00F21E9C">
        <w:rPr>
          <w:rFonts w:ascii="Tahoma" w:hAnsi="Tahoma" w:cs="Tahoma"/>
          <w:bCs/>
          <w:color w:val="000000"/>
          <w:sz w:val="24"/>
          <w:szCs w:val="24"/>
        </w:rPr>
        <w:t>Netflix</w:t>
      </w:r>
      <w:proofErr w:type="spellEnd"/>
      <w:r w:rsidRPr="00F21E9C">
        <w:rPr>
          <w:rFonts w:ascii="Tahoma" w:hAnsi="Tahoma" w:cs="Tahoma"/>
          <w:bCs/>
          <w:color w:val="000000"/>
          <w:sz w:val="24"/>
          <w:szCs w:val="24"/>
        </w:rPr>
        <w:t xml:space="preserve">, respecto de uno de sus públicos principales, los adolescentes. Esta investigación analiza el impacto de este fenómeno en la interacción y </w:t>
      </w:r>
      <w:proofErr w:type="spellStart"/>
      <w:r w:rsidRPr="00F21E9C">
        <w:rPr>
          <w:rFonts w:ascii="Tahoma" w:hAnsi="Tahoma" w:cs="Tahoma"/>
          <w:bCs/>
          <w:i/>
          <w:iCs/>
          <w:color w:val="000000"/>
          <w:sz w:val="24"/>
          <w:szCs w:val="24"/>
        </w:rPr>
        <w:t>engagement</w:t>
      </w:r>
      <w:proofErr w:type="spellEnd"/>
      <w:r w:rsidRPr="00F21E9C">
        <w:rPr>
          <w:rFonts w:ascii="Tahoma" w:hAnsi="Tahoma" w:cs="Tahoma"/>
          <w:bCs/>
          <w:i/>
          <w:iCs/>
          <w:color w:val="000000"/>
          <w:sz w:val="24"/>
          <w:szCs w:val="24"/>
        </w:rPr>
        <w:t xml:space="preserve"> online</w:t>
      </w:r>
      <w:r w:rsidRPr="00F21E9C">
        <w:rPr>
          <w:rFonts w:ascii="Tahoma" w:hAnsi="Tahoma" w:cs="Tahoma"/>
          <w:bCs/>
          <w:color w:val="000000"/>
          <w:sz w:val="24"/>
          <w:szCs w:val="24"/>
        </w:rPr>
        <w:t xml:space="preserve"> de los seguidores de </w:t>
      </w:r>
      <w:proofErr w:type="spellStart"/>
      <w:r w:rsidRPr="00F21E9C">
        <w:rPr>
          <w:rFonts w:ascii="Tahoma" w:hAnsi="Tahoma" w:cs="Tahoma"/>
          <w:bCs/>
          <w:color w:val="000000"/>
          <w:sz w:val="24"/>
          <w:szCs w:val="24"/>
        </w:rPr>
        <w:t>Netflix</w:t>
      </w:r>
      <w:proofErr w:type="spellEnd"/>
      <w:r w:rsidRPr="00F21E9C">
        <w:rPr>
          <w:rFonts w:ascii="Tahoma" w:hAnsi="Tahoma" w:cs="Tahoma"/>
          <w:bCs/>
          <w:color w:val="000000"/>
          <w:sz w:val="24"/>
          <w:szCs w:val="24"/>
        </w:rPr>
        <w:t xml:space="preserve"> en Twitter e Instagram. Para ello se realiza un análisis de contenido cuantitativo que clasifica las publicaciones en función de dos indicadores: contenido y finalidad de las publicaciones. En lo que respecta al primero, el contenido, la </w:t>
      </w:r>
      <w:r w:rsidRPr="00F21E9C">
        <w:rPr>
          <w:rFonts w:ascii="Tahoma" w:hAnsi="Tahoma" w:cs="Tahoma"/>
          <w:bCs/>
          <w:color w:val="000000"/>
          <w:sz w:val="24"/>
          <w:szCs w:val="24"/>
        </w:rPr>
        <w:lastRenderedPageBreak/>
        <w:t xml:space="preserve">distribución está bastante equilibrada y las publicaciones que versan sobre series de televisión generan buenos niveles de interacción y </w:t>
      </w:r>
      <w:proofErr w:type="spellStart"/>
      <w:r w:rsidRPr="00F21E9C">
        <w:rPr>
          <w:rFonts w:ascii="Tahoma" w:hAnsi="Tahoma" w:cs="Tahoma"/>
          <w:bCs/>
          <w:i/>
          <w:iCs/>
          <w:color w:val="000000"/>
          <w:sz w:val="24"/>
          <w:szCs w:val="24"/>
        </w:rPr>
        <w:t>engagement</w:t>
      </w:r>
      <w:proofErr w:type="spellEnd"/>
      <w:r w:rsidRPr="00F21E9C">
        <w:rPr>
          <w:rFonts w:ascii="Tahoma" w:hAnsi="Tahoma" w:cs="Tahoma"/>
          <w:bCs/>
          <w:i/>
          <w:iCs/>
          <w:color w:val="000000"/>
          <w:sz w:val="24"/>
          <w:szCs w:val="24"/>
        </w:rPr>
        <w:t xml:space="preserve"> online</w:t>
      </w:r>
      <w:r w:rsidRPr="00F21E9C">
        <w:rPr>
          <w:rFonts w:ascii="Tahoma" w:hAnsi="Tahoma" w:cs="Tahoma"/>
          <w:bCs/>
          <w:color w:val="000000"/>
          <w:sz w:val="24"/>
          <w:szCs w:val="24"/>
        </w:rPr>
        <w:t xml:space="preserve"> revelando la incidencia del </w:t>
      </w:r>
      <w:proofErr w:type="spellStart"/>
      <w:r w:rsidRPr="00F21E9C">
        <w:rPr>
          <w:rFonts w:ascii="Tahoma" w:hAnsi="Tahoma" w:cs="Tahoma"/>
          <w:bCs/>
          <w:i/>
          <w:iCs/>
          <w:color w:val="000000"/>
          <w:sz w:val="24"/>
          <w:szCs w:val="24"/>
        </w:rPr>
        <w:t>fandom</w:t>
      </w:r>
      <w:proofErr w:type="spellEnd"/>
      <w:r w:rsidRPr="00F21E9C">
        <w:rPr>
          <w:rFonts w:ascii="Tahoma" w:hAnsi="Tahoma" w:cs="Tahoma"/>
          <w:bCs/>
          <w:color w:val="000000"/>
          <w:sz w:val="24"/>
          <w:szCs w:val="24"/>
        </w:rPr>
        <w:t xml:space="preserve"> televisivo, sobre todo en la red social Instagram. Con relación al segundo, la finalidad, se observa una escasa presencia de las participativas pese a que generan mayores niveles de interacción y </w:t>
      </w:r>
      <w:proofErr w:type="spellStart"/>
      <w:r w:rsidRPr="00F21E9C">
        <w:rPr>
          <w:rFonts w:ascii="Tahoma" w:hAnsi="Tahoma" w:cs="Tahoma"/>
          <w:bCs/>
          <w:i/>
          <w:iCs/>
          <w:color w:val="000000"/>
          <w:sz w:val="24"/>
          <w:szCs w:val="24"/>
        </w:rPr>
        <w:t>engagement</w:t>
      </w:r>
      <w:proofErr w:type="spellEnd"/>
      <w:r w:rsidRPr="00F21E9C">
        <w:rPr>
          <w:rFonts w:ascii="Tahoma" w:hAnsi="Tahoma" w:cs="Tahoma"/>
          <w:bCs/>
          <w:i/>
          <w:iCs/>
          <w:color w:val="000000"/>
          <w:sz w:val="24"/>
          <w:szCs w:val="24"/>
        </w:rPr>
        <w:t xml:space="preserve"> online</w:t>
      </w:r>
      <w:r w:rsidRPr="00F21E9C">
        <w:rPr>
          <w:rFonts w:ascii="Tahoma" w:hAnsi="Tahoma" w:cs="Tahoma"/>
          <w:bCs/>
          <w:color w:val="000000"/>
          <w:sz w:val="24"/>
          <w:szCs w:val="24"/>
        </w:rPr>
        <w:t xml:space="preserve">. Se concluye acerca de las ventajas del </w:t>
      </w:r>
      <w:proofErr w:type="spellStart"/>
      <w:r w:rsidRPr="00F21E9C">
        <w:rPr>
          <w:rFonts w:ascii="Tahoma" w:hAnsi="Tahoma" w:cs="Tahoma"/>
          <w:bCs/>
          <w:i/>
          <w:iCs/>
          <w:color w:val="000000"/>
          <w:sz w:val="24"/>
          <w:szCs w:val="24"/>
        </w:rPr>
        <w:t>fandom</w:t>
      </w:r>
      <w:proofErr w:type="spellEnd"/>
      <w:r w:rsidRPr="00F21E9C">
        <w:rPr>
          <w:rFonts w:ascii="Tahoma" w:hAnsi="Tahoma" w:cs="Tahoma"/>
          <w:bCs/>
          <w:color w:val="000000"/>
          <w:sz w:val="24"/>
          <w:szCs w:val="24"/>
        </w:rPr>
        <w:t xml:space="preserve"> televisivo y de una incipiente explotación del mismo que puede mejorarse dotando a las publicaciones sobre series de un carácter participativo, pero, también, se constata un correcto enfoque de la estrategia de comunicación de la marca al contemplar distintas actuaciones acordes a las características y públicos representativos de cada red social. </w:t>
      </w:r>
    </w:p>
    <w:p w:rsidR="00D52EA2" w:rsidRPr="00F21E9C" w:rsidRDefault="00D52EA2" w:rsidP="00740778">
      <w:pPr>
        <w:spacing w:after="0"/>
        <w:jc w:val="both"/>
        <w:rPr>
          <w:rFonts w:ascii="Tahoma" w:hAnsi="Tahoma" w:cs="Tahoma"/>
          <w:b/>
          <w:bCs/>
          <w:color w:val="000000"/>
          <w:sz w:val="24"/>
          <w:szCs w:val="24"/>
        </w:rPr>
      </w:pPr>
    </w:p>
    <w:p w:rsidR="00D52EA2" w:rsidRPr="00740778" w:rsidRDefault="00D52EA2" w:rsidP="00740778">
      <w:pPr>
        <w:spacing w:after="0"/>
        <w:jc w:val="both"/>
        <w:rPr>
          <w:rFonts w:ascii="Tahoma" w:hAnsi="Tahoma" w:cs="Tahoma"/>
          <w:bCs/>
          <w:color w:val="000000"/>
          <w:sz w:val="24"/>
          <w:szCs w:val="24"/>
          <w:lang w:val="es-CL"/>
        </w:rPr>
      </w:pPr>
      <w:r w:rsidRPr="00740778">
        <w:rPr>
          <w:rFonts w:ascii="Tahoma" w:hAnsi="Tahoma" w:cs="Tahoma"/>
          <w:b/>
          <w:bCs/>
          <w:color w:val="000000"/>
          <w:sz w:val="24"/>
          <w:szCs w:val="24"/>
          <w:lang w:val="es-CL"/>
        </w:rPr>
        <w:t xml:space="preserve">PALABRAS CLAVE: </w:t>
      </w:r>
      <w:r w:rsidRPr="00740778">
        <w:rPr>
          <w:rFonts w:ascii="Tahoma" w:hAnsi="Tahoma" w:cs="Tahoma"/>
          <w:bCs/>
          <w:color w:val="000000"/>
          <w:sz w:val="24"/>
          <w:szCs w:val="24"/>
          <w:lang w:val="es-CL"/>
        </w:rPr>
        <w:t xml:space="preserve">Adolescentes - </w:t>
      </w:r>
      <w:proofErr w:type="spellStart"/>
      <w:r w:rsidRPr="00740778">
        <w:rPr>
          <w:rFonts w:ascii="Tahoma" w:hAnsi="Tahoma" w:cs="Tahoma"/>
          <w:bCs/>
          <w:i/>
          <w:iCs/>
          <w:color w:val="000000"/>
          <w:sz w:val="24"/>
          <w:szCs w:val="24"/>
          <w:lang w:val="es-CL"/>
        </w:rPr>
        <w:t>Engagement</w:t>
      </w:r>
      <w:proofErr w:type="spellEnd"/>
      <w:r w:rsidRPr="00740778">
        <w:rPr>
          <w:rFonts w:ascii="Tahoma" w:hAnsi="Tahoma" w:cs="Tahoma"/>
          <w:bCs/>
          <w:color w:val="000000"/>
          <w:sz w:val="24"/>
          <w:szCs w:val="24"/>
          <w:lang w:val="es-CL"/>
        </w:rPr>
        <w:t xml:space="preserve"> - Estrategia de comunicación - </w:t>
      </w:r>
      <w:proofErr w:type="spellStart"/>
      <w:r w:rsidRPr="00740778">
        <w:rPr>
          <w:rFonts w:ascii="Tahoma" w:hAnsi="Tahoma" w:cs="Tahoma"/>
          <w:bCs/>
          <w:i/>
          <w:iCs/>
          <w:color w:val="000000"/>
          <w:sz w:val="24"/>
          <w:szCs w:val="24"/>
          <w:lang w:val="es-CL"/>
        </w:rPr>
        <w:t>Fandom</w:t>
      </w:r>
      <w:proofErr w:type="spellEnd"/>
      <w:r w:rsidRPr="00740778">
        <w:rPr>
          <w:rFonts w:ascii="Tahoma" w:hAnsi="Tahoma" w:cs="Tahoma"/>
          <w:bCs/>
          <w:color w:val="000000"/>
          <w:sz w:val="24"/>
          <w:szCs w:val="24"/>
          <w:lang w:val="es-CL"/>
        </w:rPr>
        <w:t xml:space="preserve"> televisivo – Instagram - </w:t>
      </w:r>
      <w:proofErr w:type="spellStart"/>
      <w:r w:rsidRPr="00740778">
        <w:rPr>
          <w:rFonts w:ascii="Tahoma" w:hAnsi="Tahoma" w:cs="Tahoma"/>
          <w:bCs/>
          <w:color w:val="000000"/>
          <w:sz w:val="24"/>
          <w:szCs w:val="24"/>
          <w:lang w:val="es-CL"/>
        </w:rPr>
        <w:t>Netflix</w:t>
      </w:r>
      <w:proofErr w:type="spellEnd"/>
      <w:r w:rsidRPr="00740778">
        <w:rPr>
          <w:rFonts w:ascii="Tahoma" w:hAnsi="Tahoma" w:cs="Tahoma"/>
          <w:bCs/>
          <w:color w:val="000000"/>
          <w:sz w:val="24"/>
          <w:szCs w:val="24"/>
          <w:lang w:val="es-CL"/>
        </w:rPr>
        <w:t xml:space="preserve"> - Redes sociales – Series TV. </w:t>
      </w:r>
    </w:p>
    <w:p w:rsidR="008D6457" w:rsidRPr="00740778" w:rsidRDefault="008D6457" w:rsidP="00740778">
      <w:pPr>
        <w:autoSpaceDE w:val="0"/>
        <w:autoSpaceDN w:val="0"/>
        <w:adjustRightInd w:val="0"/>
        <w:spacing w:after="0"/>
        <w:jc w:val="both"/>
        <w:rPr>
          <w:rFonts w:ascii="Tahoma" w:hAnsi="Tahoma" w:cs="Tahoma"/>
          <w:b/>
          <w:bCs/>
          <w:sz w:val="24"/>
          <w:szCs w:val="24"/>
          <w:lang w:val="es-CL"/>
        </w:rPr>
      </w:pPr>
    </w:p>
    <w:p w:rsidR="00D52EA2" w:rsidRPr="00C9773A" w:rsidRDefault="009B5769" w:rsidP="00740778">
      <w:pPr>
        <w:autoSpaceDE w:val="0"/>
        <w:autoSpaceDN w:val="0"/>
        <w:adjustRightInd w:val="0"/>
        <w:spacing w:after="0"/>
        <w:jc w:val="both"/>
        <w:rPr>
          <w:rFonts w:ascii="Tahoma" w:hAnsi="Tahoma" w:cs="Tahoma"/>
          <w:b/>
          <w:bCs/>
          <w:color w:val="00B050"/>
          <w:sz w:val="24"/>
          <w:szCs w:val="24"/>
          <w:lang w:val="en-GB"/>
        </w:rPr>
      </w:pPr>
      <w:r>
        <w:rPr>
          <w:rFonts w:ascii="Tahoma" w:hAnsi="Tahoma" w:cs="Tahoma"/>
          <w:b/>
          <w:bCs/>
          <w:sz w:val="24"/>
          <w:szCs w:val="24"/>
          <w:lang w:val="en-GB"/>
        </w:rPr>
        <w:t>ABSTRACT</w:t>
      </w:r>
    </w:p>
    <w:p w:rsidR="00D52EA2" w:rsidRPr="00F21E9C" w:rsidRDefault="00D52EA2" w:rsidP="00740778">
      <w:pPr>
        <w:autoSpaceDE w:val="0"/>
        <w:autoSpaceDN w:val="0"/>
        <w:adjustRightInd w:val="0"/>
        <w:spacing w:after="0"/>
        <w:jc w:val="both"/>
        <w:rPr>
          <w:rFonts w:ascii="Tahoma" w:hAnsi="Tahoma" w:cs="Tahoma"/>
          <w:bCs/>
          <w:sz w:val="24"/>
          <w:szCs w:val="24"/>
          <w:lang w:val="en-GB"/>
        </w:rPr>
      </w:pPr>
    </w:p>
    <w:p w:rsidR="00D52EA2" w:rsidRPr="00C9773A" w:rsidRDefault="00D52EA2" w:rsidP="00740778">
      <w:pPr>
        <w:autoSpaceDE w:val="0"/>
        <w:autoSpaceDN w:val="0"/>
        <w:adjustRightInd w:val="0"/>
        <w:spacing w:after="0"/>
        <w:jc w:val="both"/>
        <w:rPr>
          <w:rFonts w:ascii="Tahoma" w:hAnsi="Tahoma" w:cs="Tahoma"/>
          <w:bCs/>
          <w:color w:val="00B050"/>
          <w:sz w:val="24"/>
          <w:szCs w:val="24"/>
          <w:lang w:val="en-GB"/>
        </w:rPr>
      </w:pPr>
      <w:r w:rsidRPr="00F21E9C">
        <w:rPr>
          <w:rFonts w:ascii="Tahoma" w:hAnsi="Tahoma" w:cs="Tahoma"/>
          <w:bCs/>
          <w:sz w:val="24"/>
          <w:szCs w:val="24"/>
          <w:lang w:val="en-GB"/>
        </w:rPr>
        <w:t xml:space="preserve">The new forms of </w:t>
      </w:r>
      <w:proofErr w:type="spellStart"/>
      <w:r w:rsidRPr="00F21E9C">
        <w:rPr>
          <w:rFonts w:ascii="Tahoma" w:hAnsi="Tahoma" w:cs="Tahoma"/>
          <w:bCs/>
          <w:sz w:val="24"/>
          <w:szCs w:val="24"/>
          <w:lang w:val="en-GB"/>
        </w:rPr>
        <w:t>audiovisual</w:t>
      </w:r>
      <w:proofErr w:type="spellEnd"/>
      <w:r w:rsidRPr="00F21E9C">
        <w:rPr>
          <w:rFonts w:ascii="Tahoma" w:hAnsi="Tahoma" w:cs="Tahoma"/>
          <w:bCs/>
          <w:sz w:val="24"/>
          <w:szCs w:val="24"/>
          <w:lang w:val="en-GB"/>
        </w:rPr>
        <w:t xml:space="preserve"> content consumption give an important role to the fandom television due to the potential it offers to organizations in the sector such as Netflix, regarding one of its main audiences, the teenagers. This research analyses the impact of this phenomenon on the online interaction and engagement of Netflix followers on Twitter and Instagram. To this end, a quantitative content analysis is carried out that classifies the publications based on two indicators: content and purpose of the publications. Regarding content, the first indicator, the distribution of publications is quite balanced and publications with content about television series generate good levels of interaction and online engagement. This confirms the incidence of television fandom, especially on Instagram. With regard to the purpose of the publications, the second indicator, a scarce presence of participatory publications is observed despite that these publications generate higher levels of interaction and online engagement. It concludes about the advantages of television fandom and its emerging use that can be improved by providing publications on series with a collaborative character. But it is also found that the brand's communication strategy has been correctly designed because it includes different actions depending on the different characteristics and audiences of each of the two analysed social networks. </w:t>
      </w:r>
    </w:p>
    <w:p w:rsidR="00D52EA2" w:rsidRPr="00C9773A" w:rsidRDefault="00D52EA2" w:rsidP="00740778">
      <w:pPr>
        <w:autoSpaceDE w:val="0"/>
        <w:autoSpaceDN w:val="0"/>
        <w:adjustRightInd w:val="0"/>
        <w:spacing w:after="0"/>
        <w:jc w:val="both"/>
        <w:rPr>
          <w:rFonts w:ascii="Tahoma" w:hAnsi="Tahoma" w:cs="Tahoma"/>
          <w:b/>
          <w:bCs/>
          <w:sz w:val="28"/>
          <w:szCs w:val="28"/>
          <w:lang w:val="en-GB"/>
        </w:rPr>
      </w:pPr>
    </w:p>
    <w:p w:rsidR="00D52EA2" w:rsidRPr="00C9773A" w:rsidRDefault="00D52EA2" w:rsidP="00740778">
      <w:pPr>
        <w:autoSpaceDE w:val="0"/>
        <w:autoSpaceDN w:val="0"/>
        <w:adjustRightInd w:val="0"/>
        <w:spacing w:after="0"/>
        <w:jc w:val="both"/>
        <w:rPr>
          <w:rFonts w:ascii="Tahoma" w:hAnsi="Tahoma" w:cs="Tahoma"/>
          <w:bCs/>
          <w:color w:val="00B050"/>
          <w:sz w:val="24"/>
          <w:szCs w:val="24"/>
          <w:lang w:val="en-GB"/>
        </w:rPr>
      </w:pPr>
      <w:r w:rsidRPr="00F21E9C">
        <w:rPr>
          <w:rFonts w:ascii="Tahoma" w:hAnsi="Tahoma" w:cs="Tahoma"/>
          <w:b/>
          <w:bCs/>
          <w:color w:val="000000"/>
          <w:sz w:val="24"/>
          <w:szCs w:val="24"/>
          <w:lang w:val="en-GB"/>
        </w:rPr>
        <w:t xml:space="preserve">KEY WORDS: </w:t>
      </w:r>
      <w:r w:rsidRPr="00F21E9C">
        <w:rPr>
          <w:rFonts w:ascii="Tahoma" w:hAnsi="Tahoma" w:cs="Tahoma"/>
          <w:sz w:val="24"/>
          <w:szCs w:val="24"/>
          <w:lang w:val="en-GB"/>
        </w:rPr>
        <w:t xml:space="preserve">Teenagers – Engagement - Communication Strategy - Television Fandom – </w:t>
      </w:r>
      <w:r>
        <w:rPr>
          <w:rFonts w:ascii="Tahoma" w:hAnsi="Tahoma" w:cs="Tahoma"/>
          <w:sz w:val="24"/>
          <w:szCs w:val="24"/>
          <w:lang w:val="en-GB"/>
        </w:rPr>
        <w:t xml:space="preserve">Instagram - </w:t>
      </w:r>
      <w:r w:rsidRPr="00F21E9C">
        <w:rPr>
          <w:rFonts w:ascii="Tahoma" w:hAnsi="Tahoma" w:cs="Tahoma"/>
          <w:sz w:val="24"/>
          <w:szCs w:val="24"/>
          <w:lang w:val="en-GB"/>
        </w:rPr>
        <w:t>Netflix - Social Networks</w:t>
      </w:r>
      <w:r>
        <w:rPr>
          <w:rFonts w:ascii="Tahoma" w:hAnsi="Tahoma" w:cs="Tahoma"/>
          <w:sz w:val="24"/>
          <w:szCs w:val="24"/>
          <w:lang w:val="en-GB"/>
        </w:rPr>
        <w:t xml:space="preserve"> – TV Series</w:t>
      </w:r>
      <w:r w:rsidRPr="00F21E9C">
        <w:rPr>
          <w:rFonts w:ascii="Tahoma" w:hAnsi="Tahoma" w:cs="Tahoma"/>
          <w:sz w:val="24"/>
          <w:szCs w:val="24"/>
          <w:lang w:val="en-GB"/>
        </w:rPr>
        <w:t xml:space="preserve">. </w:t>
      </w:r>
    </w:p>
    <w:p w:rsidR="00D52EA2" w:rsidRDefault="00D52EA2" w:rsidP="00740778">
      <w:pPr>
        <w:autoSpaceDE w:val="0"/>
        <w:autoSpaceDN w:val="0"/>
        <w:adjustRightInd w:val="0"/>
        <w:spacing w:after="0"/>
        <w:jc w:val="both"/>
        <w:rPr>
          <w:rFonts w:ascii="Tahoma" w:hAnsi="Tahoma" w:cs="Tahoma"/>
          <w:color w:val="00B050"/>
          <w:sz w:val="24"/>
          <w:szCs w:val="24"/>
          <w:lang w:val="en-GB"/>
        </w:rPr>
      </w:pPr>
    </w:p>
    <w:p w:rsidR="00002CA6" w:rsidRDefault="00002CA6" w:rsidP="00002CA6">
      <w:pPr>
        <w:spacing w:after="160"/>
        <w:ind w:left="1" w:hanging="3"/>
        <w:rPr>
          <w:rFonts w:ascii="Tahoma" w:eastAsia="Tahoma" w:hAnsi="Tahoma" w:cs="Tahoma"/>
          <w:b/>
          <w:sz w:val="28"/>
          <w:szCs w:val="28"/>
        </w:rPr>
      </w:pPr>
      <w:r>
        <w:rPr>
          <w:rFonts w:ascii="Tahoma" w:eastAsia="Tahoma" w:hAnsi="Tahoma" w:cs="Tahoma"/>
          <w:b/>
          <w:sz w:val="28"/>
          <w:szCs w:val="28"/>
        </w:rPr>
        <w:t>A RESISTÊNCIA DOS MEIOS DE COMUNICAÇÃO À MUDANÇA PERANTE A IMPLANTAÇÃO DAS NOVAS TECNOLOGIAS DA INFORMAÇÃO E A COMUNICAÇÃO SOCIAL</w:t>
      </w:r>
    </w:p>
    <w:p w:rsidR="00002CA6" w:rsidRDefault="00002CA6" w:rsidP="00002CA6">
      <w:pPr>
        <w:tabs>
          <w:tab w:val="left" w:pos="6235"/>
          <w:tab w:val="left" w:pos="8800"/>
        </w:tabs>
        <w:spacing w:after="0"/>
        <w:ind w:hanging="2"/>
        <w:jc w:val="both"/>
        <w:rPr>
          <w:rFonts w:ascii="Tahoma" w:eastAsia="Tahoma" w:hAnsi="Tahoma" w:cs="Tahoma"/>
          <w:sz w:val="24"/>
          <w:szCs w:val="24"/>
        </w:rPr>
      </w:pPr>
      <w:bookmarkStart w:id="1" w:name="_heading=h.yot4up7v081d"/>
      <w:bookmarkEnd w:id="1"/>
      <w:r>
        <w:rPr>
          <w:rFonts w:ascii="Tahoma" w:eastAsia="Tahoma" w:hAnsi="Tahoma" w:cs="Tahoma"/>
          <w:b/>
          <w:sz w:val="24"/>
          <w:szCs w:val="24"/>
        </w:rPr>
        <w:t xml:space="preserve">RESUMO: </w:t>
      </w:r>
    </w:p>
    <w:p w:rsidR="00002CA6" w:rsidRDefault="00002CA6" w:rsidP="00002CA6">
      <w:pPr>
        <w:tabs>
          <w:tab w:val="left" w:pos="6235"/>
          <w:tab w:val="left" w:pos="8800"/>
        </w:tabs>
        <w:spacing w:after="0"/>
        <w:ind w:hanging="2"/>
        <w:jc w:val="both"/>
        <w:rPr>
          <w:rFonts w:ascii="Tahoma" w:eastAsia="Tahoma" w:hAnsi="Tahoma" w:cs="Tahoma"/>
          <w:sz w:val="24"/>
          <w:szCs w:val="24"/>
        </w:rPr>
      </w:pPr>
    </w:p>
    <w:p w:rsidR="00002CA6" w:rsidRDefault="00002CA6" w:rsidP="00002CA6">
      <w:pPr>
        <w:spacing w:after="160"/>
        <w:ind w:hanging="2"/>
        <w:jc w:val="both"/>
      </w:pPr>
      <w:r>
        <w:rPr>
          <w:rFonts w:ascii="Tahoma" w:eastAsia="Tahoma" w:hAnsi="Tahoma" w:cs="Tahoma"/>
          <w:b/>
          <w:sz w:val="24"/>
          <w:szCs w:val="24"/>
        </w:rPr>
        <w:t xml:space="preserve">Objetivo: </w:t>
      </w:r>
      <w:r>
        <w:rPr>
          <w:rFonts w:ascii="Tahoma" w:eastAsia="Tahoma" w:hAnsi="Tahoma" w:cs="Tahoma"/>
          <w:sz w:val="24"/>
          <w:szCs w:val="24"/>
        </w:rPr>
        <w:t xml:space="preserve">É </w:t>
      </w:r>
      <w:proofErr w:type="spellStart"/>
      <w:r>
        <w:rPr>
          <w:rFonts w:ascii="Tahoma" w:eastAsia="Tahoma" w:hAnsi="Tahoma" w:cs="Tahoma"/>
          <w:sz w:val="24"/>
          <w:szCs w:val="24"/>
        </w:rPr>
        <w:t>responsabilidade</w:t>
      </w:r>
      <w:proofErr w:type="spellEnd"/>
      <w:r>
        <w:rPr>
          <w:rFonts w:ascii="Tahoma" w:eastAsia="Tahoma" w:hAnsi="Tahoma" w:cs="Tahoma"/>
          <w:sz w:val="24"/>
          <w:szCs w:val="24"/>
        </w:rPr>
        <w:t xml:space="preserve"> dos </w:t>
      </w:r>
      <w:proofErr w:type="spellStart"/>
      <w:r>
        <w:rPr>
          <w:rFonts w:ascii="Tahoma" w:eastAsia="Tahoma" w:hAnsi="Tahoma" w:cs="Tahoma"/>
          <w:sz w:val="24"/>
          <w:szCs w:val="24"/>
        </w:rPr>
        <w:t>meios</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t>comunicação</w:t>
      </w:r>
      <w:proofErr w:type="spellEnd"/>
      <w:r>
        <w:rPr>
          <w:rFonts w:ascii="Tahoma" w:eastAsia="Tahoma" w:hAnsi="Tahoma" w:cs="Tahoma"/>
          <w:sz w:val="24"/>
          <w:szCs w:val="24"/>
        </w:rPr>
        <w:t xml:space="preserve">, como forma de </w:t>
      </w:r>
      <w:proofErr w:type="spellStart"/>
      <w:r>
        <w:rPr>
          <w:rFonts w:ascii="Tahoma" w:eastAsia="Tahoma" w:hAnsi="Tahoma" w:cs="Tahoma"/>
          <w:sz w:val="24"/>
          <w:szCs w:val="24"/>
        </w:rPr>
        <w:t>serviço</w:t>
      </w:r>
      <w:proofErr w:type="spellEnd"/>
      <w:r>
        <w:rPr>
          <w:rFonts w:ascii="Tahoma" w:eastAsia="Tahoma" w:hAnsi="Tahoma" w:cs="Tahoma"/>
          <w:sz w:val="24"/>
          <w:szCs w:val="24"/>
        </w:rPr>
        <w:t xml:space="preserve"> público, se adaptar a </w:t>
      </w:r>
      <w:proofErr w:type="spellStart"/>
      <w:r>
        <w:rPr>
          <w:rFonts w:ascii="Tahoma" w:eastAsia="Tahoma" w:hAnsi="Tahoma" w:cs="Tahoma"/>
          <w:sz w:val="24"/>
          <w:szCs w:val="24"/>
        </w:rPr>
        <w:t>realidade</w:t>
      </w:r>
      <w:proofErr w:type="spellEnd"/>
      <w:r>
        <w:rPr>
          <w:rFonts w:ascii="Tahoma" w:eastAsia="Tahoma" w:hAnsi="Tahoma" w:cs="Tahoma"/>
          <w:sz w:val="24"/>
          <w:szCs w:val="24"/>
        </w:rPr>
        <w:t xml:space="preserve"> tecnológica </w:t>
      </w:r>
      <w:proofErr w:type="spellStart"/>
      <w:r>
        <w:rPr>
          <w:rFonts w:ascii="Tahoma" w:eastAsia="Tahoma" w:hAnsi="Tahoma" w:cs="Tahoma"/>
          <w:sz w:val="24"/>
          <w:szCs w:val="24"/>
        </w:rPr>
        <w:t>multimídia</w:t>
      </w:r>
      <w:proofErr w:type="spellEnd"/>
      <w:r>
        <w:rPr>
          <w:rFonts w:ascii="Tahoma" w:eastAsia="Tahoma" w:hAnsi="Tahoma" w:cs="Tahoma"/>
          <w:sz w:val="24"/>
          <w:szCs w:val="24"/>
        </w:rPr>
        <w:t xml:space="preserve">, para continuar </w:t>
      </w:r>
      <w:proofErr w:type="spellStart"/>
      <w:r>
        <w:rPr>
          <w:rFonts w:ascii="Tahoma" w:eastAsia="Tahoma" w:hAnsi="Tahoma" w:cs="Tahoma"/>
          <w:sz w:val="24"/>
          <w:szCs w:val="24"/>
        </w:rPr>
        <w:t>desempenhando</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com</w:t>
      </w:r>
      <w:proofErr w:type="spellEnd"/>
      <w:r>
        <w:rPr>
          <w:rFonts w:ascii="Tahoma" w:eastAsia="Tahoma" w:hAnsi="Tahoma" w:cs="Tahoma"/>
          <w:sz w:val="24"/>
          <w:szCs w:val="24"/>
        </w:rPr>
        <w:t xml:space="preserve"> </w:t>
      </w:r>
      <w:proofErr w:type="spellStart"/>
      <w:r>
        <w:rPr>
          <w:rFonts w:ascii="Tahoma" w:eastAsia="Tahoma" w:hAnsi="Tahoma" w:cs="Tahoma"/>
          <w:sz w:val="24"/>
          <w:szCs w:val="24"/>
        </w:rPr>
        <w:t>eficácia</w:t>
      </w:r>
      <w:proofErr w:type="spellEnd"/>
      <w:r>
        <w:rPr>
          <w:rFonts w:ascii="Tahoma" w:eastAsia="Tahoma" w:hAnsi="Tahoma" w:cs="Tahoma"/>
          <w:sz w:val="24"/>
          <w:szCs w:val="24"/>
        </w:rPr>
        <w:t xml:space="preserve"> </w:t>
      </w:r>
      <w:proofErr w:type="spellStart"/>
      <w:r>
        <w:rPr>
          <w:rFonts w:ascii="Tahoma" w:eastAsia="Tahoma" w:hAnsi="Tahoma" w:cs="Tahoma"/>
          <w:sz w:val="24"/>
          <w:szCs w:val="24"/>
        </w:rPr>
        <w:t>seu</w:t>
      </w:r>
      <w:proofErr w:type="spellEnd"/>
      <w:r>
        <w:rPr>
          <w:rFonts w:ascii="Tahoma" w:eastAsia="Tahoma" w:hAnsi="Tahoma" w:cs="Tahoma"/>
          <w:sz w:val="24"/>
          <w:szCs w:val="24"/>
        </w:rPr>
        <w:t xml:space="preserve"> </w:t>
      </w:r>
      <w:proofErr w:type="spellStart"/>
      <w:r>
        <w:rPr>
          <w:rFonts w:ascii="Tahoma" w:eastAsia="Tahoma" w:hAnsi="Tahoma" w:cs="Tahoma"/>
          <w:sz w:val="24"/>
          <w:szCs w:val="24"/>
        </w:rPr>
        <w:t>trabalho</w:t>
      </w:r>
      <w:proofErr w:type="spellEnd"/>
      <w:r>
        <w:rPr>
          <w:rFonts w:ascii="Tahoma" w:eastAsia="Tahoma" w:hAnsi="Tahoma" w:cs="Tahoma"/>
          <w:sz w:val="24"/>
          <w:szCs w:val="24"/>
        </w:rPr>
        <w:t xml:space="preserve"> informativo. </w:t>
      </w:r>
      <w:proofErr w:type="spellStart"/>
      <w:r>
        <w:rPr>
          <w:rFonts w:ascii="Tahoma" w:eastAsia="Tahoma" w:hAnsi="Tahoma" w:cs="Tahoma"/>
          <w:sz w:val="24"/>
          <w:szCs w:val="24"/>
        </w:rPr>
        <w:t>Porém</w:t>
      </w:r>
      <w:proofErr w:type="spellEnd"/>
      <w:r>
        <w:rPr>
          <w:rFonts w:ascii="Tahoma" w:eastAsia="Tahoma" w:hAnsi="Tahoma" w:cs="Tahoma"/>
          <w:sz w:val="24"/>
          <w:szCs w:val="24"/>
        </w:rPr>
        <w:t xml:space="preserve">, </w:t>
      </w:r>
      <w:proofErr w:type="spellStart"/>
      <w:r>
        <w:rPr>
          <w:rFonts w:ascii="Tahoma" w:eastAsia="Tahoma" w:hAnsi="Tahoma" w:cs="Tahoma"/>
          <w:sz w:val="24"/>
          <w:szCs w:val="24"/>
        </w:rPr>
        <w:t>qualquer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processo</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lastRenderedPageBreak/>
        <w:t>mudança</w:t>
      </w:r>
      <w:proofErr w:type="spellEnd"/>
      <w:r>
        <w:rPr>
          <w:rFonts w:ascii="Tahoma" w:eastAsia="Tahoma" w:hAnsi="Tahoma" w:cs="Tahoma"/>
          <w:sz w:val="24"/>
          <w:szCs w:val="24"/>
        </w:rPr>
        <w:t xml:space="preserve"> </w:t>
      </w:r>
      <w:proofErr w:type="spellStart"/>
      <w:r>
        <w:rPr>
          <w:rFonts w:ascii="Tahoma" w:eastAsia="Tahoma" w:hAnsi="Tahoma" w:cs="Tahoma"/>
          <w:sz w:val="24"/>
          <w:szCs w:val="24"/>
        </w:rPr>
        <w:t>nas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organizações</w:t>
      </w:r>
      <w:proofErr w:type="spellEnd"/>
      <w:r>
        <w:rPr>
          <w:rFonts w:ascii="Tahoma" w:eastAsia="Tahoma" w:hAnsi="Tahoma" w:cs="Tahoma"/>
          <w:sz w:val="24"/>
          <w:szCs w:val="24"/>
        </w:rPr>
        <w:t xml:space="preserve">, implica </w:t>
      </w:r>
      <w:proofErr w:type="spellStart"/>
      <w:r>
        <w:rPr>
          <w:rFonts w:ascii="Tahoma" w:eastAsia="Tahoma" w:hAnsi="Tahoma" w:cs="Tahoma"/>
          <w:sz w:val="24"/>
          <w:szCs w:val="24"/>
        </w:rPr>
        <w:t>uma</w:t>
      </w:r>
      <w:proofErr w:type="spellEnd"/>
      <w:r>
        <w:rPr>
          <w:rFonts w:ascii="Tahoma" w:eastAsia="Tahoma" w:hAnsi="Tahoma" w:cs="Tahoma"/>
          <w:sz w:val="24"/>
          <w:szCs w:val="24"/>
        </w:rPr>
        <w:t xml:space="preserve"> </w:t>
      </w:r>
      <w:proofErr w:type="spellStart"/>
      <w:r>
        <w:rPr>
          <w:rFonts w:ascii="Tahoma" w:eastAsia="Tahoma" w:hAnsi="Tahoma" w:cs="Tahoma"/>
          <w:sz w:val="24"/>
          <w:szCs w:val="24"/>
        </w:rPr>
        <w:t>resistência</w:t>
      </w:r>
      <w:proofErr w:type="spellEnd"/>
      <w:r>
        <w:rPr>
          <w:rFonts w:ascii="Tahoma" w:eastAsia="Tahoma" w:hAnsi="Tahoma" w:cs="Tahoma"/>
          <w:sz w:val="24"/>
          <w:szCs w:val="24"/>
        </w:rPr>
        <w:t xml:space="preserve"> inicial e </w:t>
      </w:r>
      <w:proofErr w:type="spellStart"/>
      <w:r>
        <w:rPr>
          <w:rFonts w:ascii="Tahoma" w:eastAsia="Tahoma" w:hAnsi="Tahoma" w:cs="Tahoma"/>
          <w:sz w:val="24"/>
          <w:szCs w:val="24"/>
        </w:rPr>
        <w:t>um</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processo</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t>adaptação</w:t>
      </w:r>
      <w:proofErr w:type="spellEnd"/>
      <w:r>
        <w:rPr>
          <w:rFonts w:ascii="Tahoma" w:eastAsia="Tahoma" w:hAnsi="Tahoma" w:cs="Tahoma"/>
          <w:sz w:val="24"/>
          <w:szCs w:val="24"/>
        </w:rPr>
        <w:t xml:space="preserve"> das </w:t>
      </w:r>
      <w:proofErr w:type="spellStart"/>
      <w:r>
        <w:rPr>
          <w:rFonts w:ascii="Tahoma" w:eastAsia="Tahoma" w:hAnsi="Tahoma" w:cs="Tahoma"/>
          <w:sz w:val="24"/>
          <w:szCs w:val="24"/>
        </w:rPr>
        <w:t>consequências</w:t>
      </w:r>
      <w:proofErr w:type="spellEnd"/>
      <w:r>
        <w:rPr>
          <w:rFonts w:ascii="Tahoma" w:eastAsia="Tahoma" w:hAnsi="Tahoma" w:cs="Tahoma"/>
          <w:sz w:val="24"/>
          <w:szCs w:val="24"/>
        </w:rPr>
        <w:t xml:space="preserve"> e </w:t>
      </w:r>
      <w:proofErr w:type="spellStart"/>
      <w:r>
        <w:rPr>
          <w:rFonts w:ascii="Tahoma" w:eastAsia="Tahoma" w:hAnsi="Tahoma" w:cs="Tahoma"/>
          <w:sz w:val="24"/>
          <w:szCs w:val="24"/>
        </w:rPr>
        <w:t>possíveis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estratégias</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t>prevenção</w:t>
      </w:r>
      <w:proofErr w:type="spellEnd"/>
      <w:r>
        <w:rPr>
          <w:rFonts w:ascii="Tahoma" w:eastAsia="Tahoma" w:hAnsi="Tahoma" w:cs="Tahoma"/>
          <w:sz w:val="24"/>
          <w:szCs w:val="24"/>
        </w:rPr>
        <w:t xml:space="preserve">, </w:t>
      </w:r>
      <w:proofErr w:type="spellStart"/>
      <w:r>
        <w:rPr>
          <w:rFonts w:ascii="Tahoma" w:eastAsia="Tahoma" w:hAnsi="Tahoma" w:cs="Tahoma"/>
          <w:sz w:val="24"/>
          <w:szCs w:val="24"/>
        </w:rPr>
        <w:t>através</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t>situações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reais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em</w:t>
      </w:r>
      <w:proofErr w:type="spellEnd"/>
      <w:r>
        <w:rPr>
          <w:rFonts w:ascii="Tahoma" w:eastAsia="Tahoma" w:hAnsi="Tahoma" w:cs="Tahoma"/>
          <w:sz w:val="24"/>
          <w:szCs w:val="24"/>
        </w:rPr>
        <w:t xml:space="preserve"> </w:t>
      </w:r>
      <w:proofErr w:type="spellStart"/>
      <w:r>
        <w:rPr>
          <w:rFonts w:ascii="Tahoma" w:eastAsia="Tahoma" w:hAnsi="Tahoma" w:cs="Tahoma"/>
          <w:sz w:val="24"/>
          <w:szCs w:val="24"/>
        </w:rPr>
        <w:t>um</w:t>
      </w:r>
      <w:proofErr w:type="spellEnd"/>
      <w:r>
        <w:rPr>
          <w:rFonts w:ascii="Tahoma" w:eastAsia="Tahoma" w:hAnsi="Tahoma" w:cs="Tahoma"/>
          <w:sz w:val="24"/>
          <w:szCs w:val="24"/>
        </w:rPr>
        <w:t xml:space="preserve"> </w:t>
      </w:r>
      <w:proofErr w:type="spellStart"/>
      <w:r>
        <w:rPr>
          <w:rFonts w:ascii="Tahoma" w:eastAsia="Tahoma" w:hAnsi="Tahoma" w:cs="Tahoma"/>
          <w:sz w:val="24"/>
          <w:szCs w:val="24"/>
        </w:rPr>
        <w:t>meio</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t>comunicação</w:t>
      </w:r>
      <w:proofErr w:type="spellEnd"/>
      <w:r>
        <w:rPr>
          <w:rFonts w:ascii="Tahoma" w:eastAsia="Tahoma" w:hAnsi="Tahoma" w:cs="Tahoma"/>
          <w:sz w:val="24"/>
          <w:szCs w:val="24"/>
        </w:rPr>
        <w:t xml:space="preserve"> (RTVE).</w:t>
      </w:r>
    </w:p>
    <w:p w:rsidR="00002CA6" w:rsidRDefault="00002CA6" w:rsidP="00002CA6">
      <w:pPr>
        <w:spacing w:after="160"/>
        <w:ind w:hanging="2"/>
        <w:jc w:val="both"/>
      </w:pPr>
      <w:proofErr w:type="spellStart"/>
      <w:r>
        <w:rPr>
          <w:rFonts w:ascii="Tahoma" w:eastAsia="Tahoma" w:hAnsi="Tahoma" w:cs="Tahoma"/>
          <w:b/>
          <w:sz w:val="24"/>
          <w:szCs w:val="24"/>
        </w:rPr>
        <w:t>Metodologia</w:t>
      </w:r>
      <w:proofErr w:type="spellEnd"/>
      <w:r>
        <w:rPr>
          <w:rFonts w:ascii="Tahoma" w:eastAsia="Tahoma" w:hAnsi="Tahoma" w:cs="Tahoma"/>
          <w:b/>
          <w:sz w:val="24"/>
          <w:szCs w:val="24"/>
        </w:rPr>
        <w:t>:</w:t>
      </w:r>
      <w:r>
        <w:rPr>
          <w:rFonts w:ascii="Tahoma" w:eastAsia="Tahoma" w:hAnsi="Tahoma" w:cs="Tahoma"/>
          <w:sz w:val="24"/>
          <w:szCs w:val="24"/>
        </w:rPr>
        <w:t xml:space="preserve"> </w:t>
      </w:r>
      <w:proofErr w:type="spellStart"/>
      <w:r>
        <w:rPr>
          <w:rFonts w:ascii="Tahoma" w:eastAsia="Tahoma" w:hAnsi="Tahoma" w:cs="Tahoma"/>
          <w:sz w:val="24"/>
          <w:szCs w:val="24"/>
        </w:rPr>
        <w:t>Revisão</w:t>
      </w:r>
      <w:proofErr w:type="spellEnd"/>
      <w:r>
        <w:rPr>
          <w:rFonts w:ascii="Tahoma" w:eastAsia="Tahoma" w:hAnsi="Tahoma" w:cs="Tahoma"/>
          <w:sz w:val="24"/>
          <w:szCs w:val="24"/>
        </w:rPr>
        <w:t xml:space="preserve"> bibliográfica sistemática da literatura sobre a </w:t>
      </w:r>
      <w:proofErr w:type="spellStart"/>
      <w:r>
        <w:rPr>
          <w:rFonts w:ascii="Tahoma" w:eastAsia="Tahoma" w:hAnsi="Tahoma" w:cs="Tahoma"/>
          <w:sz w:val="24"/>
          <w:szCs w:val="24"/>
        </w:rPr>
        <w:t>resistência</w:t>
      </w:r>
      <w:proofErr w:type="spellEnd"/>
      <w:r>
        <w:rPr>
          <w:rFonts w:ascii="Tahoma" w:eastAsia="Tahoma" w:hAnsi="Tahoma" w:cs="Tahoma"/>
          <w:sz w:val="24"/>
          <w:szCs w:val="24"/>
        </w:rPr>
        <w:t xml:space="preserve"> </w:t>
      </w:r>
      <w:proofErr w:type="spellStart"/>
      <w:r>
        <w:rPr>
          <w:rFonts w:ascii="Tahoma" w:eastAsia="Tahoma" w:hAnsi="Tahoma" w:cs="Tahoma"/>
          <w:sz w:val="24"/>
          <w:szCs w:val="24"/>
        </w:rPr>
        <w:t>às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mudanças</w:t>
      </w:r>
      <w:proofErr w:type="spellEnd"/>
      <w:r>
        <w:rPr>
          <w:rFonts w:ascii="Tahoma" w:eastAsia="Tahoma" w:hAnsi="Tahoma" w:cs="Tahoma"/>
          <w:sz w:val="24"/>
          <w:szCs w:val="24"/>
        </w:rPr>
        <w:t xml:space="preserve"> nos </w:t>
      </w:r>
      <w:proofErr w:type="spellStart"/>
      <w:r>
        <w:rPr>
          <w:rFonts w:ascii="Tahoma" w:eastAsia="Tahoma" w:hAnsi="Tahoma" w:cs="Tahoma"/>
          <w:sz w:val="24"/>
          <w:szCs w:val="24"/>
        </w:rPr>
        <w:t>meios</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t>comunicação</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perante</w:t>
      </w:r>
      <w:proofErr w:type="spellEnd"/>
      <w:r>
        <w:rPr>
          <w:rFonts w:ascii="Tahoma" w:eastAsia="Tahoma" w:hAnsi="Tahoma" w:cs="Tahoma"/>
          <w:sz w:val="24"/>
          <w:szCs w:val="24"/>
        </w:rPr>
        <w:t xml:space="preserve"> a </w:t>
      </w:r>
      <w:proofErr w:type="spellStart"/>
      <w:r>
        <w:rPr>
          <w:rFonts w:ascii="Tahoma" w:eastAsia="Tahoma" w:hAnsi="Tahoma" w:cs="Tahoma"/>
          <w:sz w:val="24"/>
          <w:szCs w:val="24"/>
        </w:rPr>
        <w:t>introdução</w:t>
      </w:r>
      <w:proofErr w:type="spellEnd"/>
      <w:r>
        <w:rPr>
          <w:rFonts w:ascii="Tahoma" w:eastAsia="Tahoma" w:hAnsi="Tahoma" w:cs="Tahoma"/>
          <w:sz w:val="24"/>
          <w:szCs w:val="24"/>
        </w:rPr>
        <w:t xml:space="preserve"> de novas </w:t>
      </w:r>
      <w:proofErr w:type="spellStart"/>
      <w:r>
        <w:rPr>
          <w:rFonts w:ascii="Tahoma" w:eastAsia="Tahoma" w:hAnsi="Tahoma" w:cs="Tahoma"/>
          <w:sz w:val="24"/>
          <w:szCs w:val="24"/>
        </w:rPr>
        <w:t>tecnologias</w:t>
      </w:r>
      <w:proofErr w:type="spellEnd"/>
      <w:r>
        <w:rPr>
          <w:rFonts w:ascii="Tahoma" w:eastAsia="Tahoma" w:hAnsi="Tahoma" w:cs="Tahoma"/>
          <w:sz w:val="24"/>
          <w:szCs w:val="24"/>
        </w:rPr>
        <w:t xml:space="preserve"> e da </w:t>
      </w:r>
      <w:proofErr w:type="spellStart"/>
      <w:r>
        <w:rPr>
          <w:rFonts w:ascii="Tahoma" w:eastAsia="Tahoma" w:hAnsi="Tahoma" w:cs="Tahoma"/>
          <w:sz w:val="24"/>
          <w:szCs w:val="24"/>
        </w:rPr>
        <w:t>experiência</w:t>
      </w:r>
      <w:proofErr w:type="spellEnd"/>
      <w:r>
        <w:rPr>
          <w:rFonts w:ascii="Tahoma" w:eastAsia="Tahoma" w:hAnsi="Tahoma" w:cs="Tahoma"/>
          <w:sz w:val="24"/>
          <w:szCs w:val="24"/>
        </w:rPr>
        <w:t xml:space="preserve"> publicada sobre </w:t>
      </w:r>
      <w:proofErr w:type="spellStart"/>
      <w:r>
        <w:rPr>
          <w:rFonts w:ascii="Tahoma" w:eastAsia="Tahoma" w:hAnsi="Tahoma" w:cs="Tahoma"/>
          <w:sz w:val="24"/>
          <w:szCs w:val="24"/>
        </w:rPr>
        <w:t>três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cenários</w:t>
      </w:r>
      <w:proofErr w:type="spellEnd"/>
      <w:r>
        <w:rPr>
          <w:rFonts w:ascii="Tahoma" w:eastAsia="Tahoma" w:hAnsi="Tahoma" w:cs="Tahoma"/>
          <w:sz w:val="24"/>
          <w:szCs w:val="24"/>
        </w:rPr>
        <w:t xml:space="preserve">: </w:t>
      </w:r>
      <w:proofErr w:type="spellStart"/>
      <w:r>
        <w:rPr>
          <w:rFonts w:ascii="Tahoma" w:eastAsia="Tahoma" w:hAnsi="Tahoma" w:cs="Tahoma"/>
          <w:sz w:val="24"/>
          <w:szCs w:val="24"/>
        </w:rPr>
        <w:t>digitalização</w:t>
      </w:r>
      <w:proofErr w:type="spellEnd"/>
      <w:r>
        <w:rPr>
          <w:rFonts w:ascii="Tahoma" w:eastAsia="Tahoma" w:hAnsi="Tahoma" w:cs="Tahoma"/>
          <w:sz w:val="24"/>
          <w:szCs w:val="24"/>
        </w:rPr>
        <w:t xml:space="preserve"> de Informativos, </w:t>
      </w:r>
      <w:proofErr w:type="spellStart"/>
      <w:r>
        <w:rPr>
          <w:rFonts w:ascii="Tahoma" w:eastAsia="Tahoma" w:hAnsi="Tahoma" w:cs="Tahoma"/>
          <w:sz w:val="24"/>
          <w:szCs w:val="24"/>
        </w:rPr>
        <w:t>Redação</w:t>
      </w:r>
      <w:proofErr w:type="spellEnd"/>
      <w:r>
        <w:rPr>
          <w:rFonts w:ascii="Tahoma" w:eastAsia="Tahoma" w:hAnsi="Tahoma" w:cs="Tahoma"/>
          <w:sz w:val="24"/>
          <w:szCs w:val="24"/>
        </w:rPr>
        <w:t xml:space="preserve"> Digital Centralizada nos centros </w:t>
      </w:r>
      <w:proofErr w:type="spellStart"/>
      <w:r>
        <w:rPr>
          <w:rFonts w:ascii="Tahoma" w:eastAsia="Tahoma" w:hAnsi="Tahoma" w:cs="Tahoma"/>
          <w:sz w:val="24"/>
          <w:szCs w:val="24"/>
        </w:rPr>
        <w:t>territoriais</w:t>
      </w:r>
      <w:proofErr w:type="spellEnd"/>
      <w:r>
        <w:rPr>
          <w:rFonts w:ascii="Tahoma" w:eastAsia="Tahoma" w:hAnsi="Tahoma" w:cs="Tahoma"/>
          <w:sz w:val="24"/>
          <w:szCs w:val="24"/>
        </w:rPr>
        <w:t xml:space="preserve"> e </w:t>
      </w:r>
      <w:proofErr w:type="spellStart"/>
      <w:r>
        <w:rPr>
          <w:rFonts w:ascii="Tahoma" w:eastAsia="Tahoma" w:hAnsi="Tahoma" w:cs="Tahoma"/>
          <w:sz w:val="24"/>
          <w:szCs w:val="24"/>
        </w:rPr>
        <w:t>efeitos</w:t>
      </w:r>
      <w:proofErr w:type="spellEnd"/>
      <w:r>
        <w:rPr>
          <w:rFonts w:ascii="Tahoma" w:eastAsia="Tahoma" w:hAnsi="Tahoma" w:cs="Tahoma"/>
          <w:sz w:val="24"/>
          <w:szCs w:val="24"/>
        </w:rPr>
        <w:t xml:space="preserve"> da pandemia COVID-19.</w:t>
      </w:r>
    </w:p>
    <w:p w:rsidR="00002CA6" w:rsidRDefault="00002CA6" w:rsidP="00002CA6">
      <w:pPr>
        <w:spacing w:after="160"/>
        <w:ind w:hanging="2"/>
        <w:jc w:val="both"/>
      </w:pPr>
      <w:proofErr w:type="spellStart"/>
      <w:r>
        <w:rPr>
          <w:rFonts w:ascii="Tahoma" w:eastAsia="Tahoma" w:hAnsi="Tahoma" w:cs="Tahoma"/>
          <w:b/>
          <w:sz w:val="24"/>
          <w:szCs w:val="24"/>
        </w:rPr>
        <w:t>Discussão</w:t>
      </w:r>
      <w:proofErr w:type="spellEnd"/>
      <w:r>
        <w:rPr>
          <w:rFonts w:ascii="Tahoma" w:eastAsia="Tahoma" w:hAnsi="Tahoma" w:cs="Tahoma"/>
          <w:b/>
          <w:sz w:val="24"/>
          <w:szCs w:val="24"/>
        </w:rPr>
        <w:t xml:space="preserve">-Resultados: </w:t>
      </w:r>
      <w:r>
        <w:rPr>
          <w:rFonts w:ascii="Tahoma" w:eastAsia="Tahoma" w:hAnsi="Tahoma" w:cs="Tahoma"/>
          <w:sz w:val="24"/>
          <w:szCs w:val="24"/>
        </w:rPr>
        <w:t xml:space="preserve">São </w:t>
      </w:r>
      <w:proofErr w:type="spellStart"/>
      <w:r>
        <w:rPr>
          <w:rFonts w:ascii="Tahoma" w:eastAsia="Tahoma" w:hAnsi="Tahoma" w:cs="Tahoma"/>
          <w:sz w:val="24"/>
          <w:szCs w:val="24"/>
        </w:rPr>
        <w:t>expostos</w:t>
      </w:r>
      <w:proofErr w:type="spellEnd"/>
      <w:r>
        <w:rPr>
          <w:rFonts w:ascii="Tahoma" w:eastAsia="Tahoma" w:hAnsi="Tahoma" w:cs="Tahoma"/>
          <w:sz w:val="24"/>
          <w:szCs w:val="24"/>
        </w:rPr>
        <w:t xml:space="preserve"> resultados sobre mecanismos </w:t>
      </w:r>
      <w:proofErr w:type="spellStart"/>
      <w:r>
        <w:rPr>
          <w:rFonts w:ascii="Tahoma" w:eastAsia="Tahoma" w:hAnsi="Tahoma" w:cs="Tahoma"/>
          <w:sz w:val="24"/>
          <w:szCs w:val="24"/>
        </w:rPr>
        <w:t>envolvidos</w:t>
      </w:r>
      <w:proofErr w:type="spellEnd"/>
      <w:r>
        <w:rPr>
          <w:rFonts w:ascii="Tahoma" w:eastAsia="Tahoma" w:hAnsi="Tahoma" w:cs="Tahoma"/>
          <w:sz w:val="24"/>
          <w:szCs w:val="24"/>
        </w:rPr>
        <w:t xml:space="preserve"> na </w:t>
      </w:r>
      <w:proofErr w:type="spellStart"/>
      <w:r>
        <w:rPr>
          <w:rFonts w:ascii="Tahoma" w:eastAsia="Tahoma" w:hAnsi="Tahoma" w:cs="Tahoma"/>
          <w:sz w:val="24"/>
          <w:szCs w:val="24"/>
        </w:rPr>
        <w:t>resistência</w:t>
      </w:r>
      <w:proofErr w:type="spellEnd"/>
      <w:r>
        <w:rPr>
          <w:rFonts w:ascii="Tahoma" w:eastAsia="Tahoma" w:hAnsi="Tahoma" w:cs="Tahoma"/>
          <w:sz w:val="24"/>
          <w:szCs w:val="24"/>
        </w:rPr>
        <w:t xml:space="preserve"> </w:t>
      </w:r>
      <w:proofErr w:type="spellStart"/>
      <w:r>
        <w:rPr>
          <w:rFonts w:ascii="Tahoma" w:eastAsia="Tahoma" w:hAnsi="Tahoma" w:cs="Tahoma"/>
          <w:sz w:val="24"/>
          <w:szCs w:val="24"/>
        </w:rPr>
        <w:t>às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mudanças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assim</w:t>
      </w:r>
      <w:proofErr w:type="spellEnd"/>
      <w:r>
        <w:rPr>
          <w:rFonts w:ascii="Tahoma" w:eastAsia="Tahoma" w:hAnsi="Tahoma" w:cs="Tahoma"/>
          <w:sz w:val="24"/>
          <w:szCs w:val="24"/>
        </w:rPr>
        <w:t xml:space="preserve"> como </w:t>
      </w:r>
      <w:proofErr w:type="spellStart"/>
      <w:r>
        <w:rPr>
          <w:rFonts w:ascii="Tahoma" w:eastAsia="Tahoma" w:hAnsi="Tahoma" w:cs="Tahoma"/>
          <w:sz w:val="24"/>
          <w:szCs w:val="24"/>
        </w:rPr>
        <w:t>algumas</w:t>
      </w:r>
      <w:proofErr w:type="spellEnd"/>
      <w:r>
        <w:rPr>
          <w:rFonts w:ascii="Tahoma" w:eastAsia="Tahoma" w:hAnsi="Tahoma" w:cs="Tahoma"/>
          <w:sz w:val="24"/>
          <w:szCs w:val="24"/>
        </w:rPr>
        <w:t xml:space="preserve"> características dos </w:t>
      </w:r>
      <w:proofErr w:type="spellStart"/>
      <w:r>
        <w:rPr>
          <w:rFonts w:ascii="Tahoma" w:eastAsia="Tahoma" w:hAnsi="Tahoma" w:cs="Tahoma"/>
          <w:sz w:val="24"/>
          <w:szCs w:val="24"/>
        </w:rPr>
        <w:t>profissionais</w:t>
      </w:r>
      <w:proofErr w:type="spellEnd"/>
      <w:r>
        <w:rPr>
          <w:rFonts w:ascii="Tahoma" w:eastAsia="Tahoma" w:hAnsi="Tahoma" w:cs="Tahoma"/>
          <w:sz w:val="24"/>
          <w:szCs w:val="24"/>
        </w:rPr>
        <w:t xml:space="preserve"> (</w:t>
      </w:r>
      <w:proofErr w:type="spellStart"/>
      <w:r>
        <w:rPr>
          <w:rFonts w:ascii="Tahoma" w:eastAsia="Tahoma" w:hAnsi="Tahoma" w:cs="Tahoma"/>
          <w:sz w:val="24"/>
          <w:szCs w:val="24"/>
        </w:rPr>
        <w:t>trajetória</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profissional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experiência</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com</w:t>
      </w:r>
      <w:proofErr w:type="spellEnd"/>
      <w:r>
        <w:rPr>
          <w:rFonts w:ascii="Tahoma" w:eastAsia="Tahoma" w:hAnsi="Tahoma" w:cs="Tahoma"/>
          <w:sz w:val="24"/>
          <w:szCs w:val="24"/>
        </w:rPr>
        <w:t xml:space="preserve"> novas </w:t>
      </w:r>
      <w:proofErr w:type="spellStart"/>
      <w:r>
        <w:rPr>
          <w:rFonts w:ascii="Tahoma" w:eastAsia="Tahoma" w:hAnsi="Tahoma" w:cs="Tahoma"/>
          <w:sz w:val="24"/>
          <w:szCs w:val="24"/>
        </w:rPr>
        <w:t>tecnologias</w:t>
      </w:r>
      <w:proofErr w:type="spellEnd"/>
      <w:r>
        <w:rPr>
          <w:rFonts w:ascii="Tahoma" w:eastAsia="Tahoma" w:hAnsi="Tahoma" w:cs="Tahoma"/>
          <w:sz w:val="24"/>
          <w:szCs w:val="24"/>
        </w:rPr>
        <w:t xml:space="preserve">) e do </w:t>
      </w:r>
      <w:proofErr w:type="spellStart"/>
      <w:r>
        <w:rPr>
          <w:rFonts w:ascii="Tahoma" w:eastAsia="Tahoma" w:hAnsi="Tahoma" w:cs="Tahoma"/>
          <w:sz w:val="24"/>
          <w:szCs w:val="24"/>
        </w:rPr>
        <w:t>processo</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mudanças</w:t>
      </w:r>
      <w:proofErr w:type="spellEnd"/>
      <w:r>
        <w:rPr>
          <w:rFonts w:ascii="Tahoma" w:eastAsia="Tahoma" w:hAnsi="Tahoma" w:cs="Tahoma"/>
          <w:sz w:val="24"/>
          <w:szCs w:val="24"/>
        </w:rPr>
        <w:t xml:space="preserve"> da </w:t>
      </w:r>
      <w:proofErr w:type="spellStart"/>
      <w:r>
        <w:rPr>
          <w:rFonts w:ascii="Tahoma" w:eastAsia="Tahoma" w:hAnsi="Tahoma" w:cs="Tahoma"/>
          <w:sz w:val="24"/>
          <w:szCs w:val="24"/>
        </w:rPr>
        <w:t>função</w:t>
      </w:r>
      <w:proofErr w:type="spellEnd"/>
      <w:r>
        <w:rPr>
          <w:rFonts w:ascii="Tahoma" w:eastAsia="Tahoma" w:hAnsi="Tahoma" w:cs="Tahoma"/>
          <w:sz w:val="24"/>
          <w:szCs w:val="24"/>
        </w:rPr>
        <w:t xml:space="preserve"> que </w:t>
      </w:r>
      <w:proofErr w:type="spellStart"/>
      <w:r>
        <w:rPr>
          <w:rFonts w:ascii="Tahoma" w:eastAsia="Tahoma" w:hAnsi="Tahoma" w:cs="Tahoma"/>
          <w:sz w:val="24"/>
          <w:szCs w:val="24"/>
        </w:rPr>
        <w:t>impliquem</w:t>
      </w:r>
      <w:proofErr w:type="spellEnd"/>
      <w:r>
        <w:rPr>
          <w:rFonts w:ascii="Tahoma" w:eastAsia="Tahoma" w:hAnsi="Tahoma" w:cs="Tahoma"/>
          <w:sz w:val="24"/>
          <w:szCs w:val="24"/>
        </w:rPr>
        <w:t xml:space="preserve"> </w:t>
      </w:r>
      <w:proofErr w:type="spellStart"/>
      <w:r>
        <w:rPr>
          <w:rFonts w:ascii="Tahoma" w:eastAsia="Tahoma" w:hAnsi="Tahoma" w:cs="Tahoma"/>
          <w:sz w:val="24"/>
          <w:szCs w:val="24"/>
        </w:rPr>
        <w:t>sair</w:t>
      </w:r>
      <w:proofErr w:type="spellEnd"/>
      <w:r>
        <w:rPr>
          <w:rFonts w:ascii="Tahoma" w:eastAsia="Tahoma" w:hAnsi="Tahoma" w:cs="Tahoma"/>
          <w:sz w:val="24"/>
          <w:szCs w:val="24"/>
        </w:rPr>
        <w:t xml:space="preserve"> da zona de conforto do </w:t>
      </w:r>
      <w:proofErr w:type="spellStart"/>
      <w:r>
        <w:rPr>
          <w:rFonts w:ascii="Tahoma" w:eastAsia="Tahoma" w:hAnsi="Tahoma" w:cs="Tahoma"/>
          <w:sz w:val="24"/>
          <w:szCs w:val="24"/>
        </w:rPr>
        <w:t>profissional</w:t>
      </w:r>
      <w:proofErr w:type="spellEnd"/>
      <w:r>
        <w:rPr>
          <w:rFonts w:ascii="Tahoma" w:eastAsia="Tahoma" w:hAnsi="Tahoma" w:cs="Tahoma"/>
          <w:sz w:val="24"/>
          <w:szCs w:val="24"/>
        </w:rPr>
        <w:t xml:space="preserve">). Se </w:t>
      </w:r>
      <w:proofErr w:type="spellStart"/>
      <w:r>
        <w:rPr>
          <w:rFonts w:ascii="Tahoma" w:eastAsia="Tahoma" w:hAnsi="Tahoma" w:cs="Tahoma"/>
          <w:sz w:val="24"/>
          <w:szCs w:val="24"/>
        </w:rPr>
        <w:t>apresentam</w:t>
      </w:r>
      <w:proofErr w:type="spellEnd"/>
      <w:r>
        <w:rPr>
          <w:rFonts w:ascii="Tahoma" w:eastAsia="Tahoma" w:hAnsi="Tahoma" w:cs="Tahoma"/>
          <w:sz w:val="24"/>
          <w:szCs w:val="24"/>
        </w:rPr>
        <w:t xml:space="preserve"> os mecanismos de </w:t>
      </w:r>
      <w:proofErr w:type="spellStart"/>
      <w:r>
        <w:rPr>
          <w:rFonts w:ascii="Tahoma" w:eastAsia="Tahoma" w:hAnsi="Tahoma" w:cs="Tahoma"/>
          <w:sz w:val="24"/>
          <w:szCs w:val="24"/>
        </w:rPr>
        <w:t>oposição</w:t>
      </w:r>
      <w:proofErr w:type="spellEnd"/>
      <w:r>
        <w:rPr>
          <w:rFonts w:ascii="Tahoma" w:eastAsia="Tahoma" w:hAnsi="Tahoma" w:cs="Tahoma"/>
          <w:sz w:val="24"/>
          <w:szCs w:val="24"/>
        </w:rPr>
        <w:t xml:space="preserve"> </w:t>
      </w:r>
      <w:proofErr w:type="spellStart"/>
      <w:r>
        <w:rPr>
          <w:rFonts w:ascii="Tahoma" w:eastAsia="Tahoma" w:hAnsi="Tahoma" w:cs="Tahoma"/>
          <w:sz w:val="24"/>
          <w:szCs w:val="24"/>
        </w:rPr>
        <w:t>às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mudanças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greve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rejeição</w:t>
      </w:r>
      <w:proofErr w:type="spellEnd"/>
      <w:r>
        <w:rPr>
          <w:rFonts w:ascii="Tahoma" w:eastAsia="Tahoma" w:hAnsi="Tahoma" w:cs="Tahoma"/>
          <w:sz w:val="24"/>
          <w:szCs w:val="24"/>
        </w:rPr>
        <w:t xml:space="preserve"> </w:t>
      </w:r>
      <w:proofErr w:type="spellStart"/>
      <w:r>
        <w:rPr>
          <w:rFonts w:ascii="Tahoma" w:eastAsia="Tahoma" w:hAnsi="Tahoma" w:cs="Tahoma"/>
          <w:sz w:val="24"/>
          <w:szCs w:val="24"/>
        </w:rPr>
        <w:t>encoberta</w:t>
      </w:r>
      <w:proofErr w:type="spellEnd"/>
      <w:r>
        <w:rPr>
          <w:rFonts w:ascii="Tahoma" w:eastAsia="Tahoma" w:hAnsi="Tahoma" w:cs="Tahoma"/>
          <w:sz w:val="24"/>
          <w:szCs w:val="24"/>
        </w:rPr>
        <w:t xml:space="preserve">) e as </w:t>
      </w:r>
      <w:proofErr w:type="spellStart"/>
      <w:r>
        <w:rPr>
          <w:rFonts w:ascii="Tahoma" w:eastAsia="Tahoma" w:hAnsi="Tahoma" w:cs="Tahoma"/>
          <w:sz w:val="24"/>
          <w:szCs w:val="24"/>
        </w:rPr>
        <w:t>estratégias</w:t>
      </w:r>
      <w:proofErr w:type="spellEnd"/>
      <w:r>
        <w:rPr>
          <w:rFonts w:ascii="Tahoma" w:eastAsia="Tahoma" w:hAnsi="Tahoma" w:cs="Tahoma"/>
          <w:sz w:val="24"/>
          <w:szCs w:val="24"/>
        </w:rPr>
        <w:t xml:space="preserve"> preventivas que </w:t>
      </w:r>
      <w:proofErr w:type="spellStart"/>
      <w:r>
        <w:rPr>
          <w:rFonts w:ascii="Tahoma" w:eastAsia="Tahoma" w:hAnsi="Tahoma" w:cs="Tahoma"/>
          <w:sz w:val="24"/>
          <w:szCs w:val="24"/>
        </w:rPr>
        <w:t>foram</w:t>
      </w:r>
      <w:proofErr w:type="spellEnd"/>
      <w:r>
        <w:rPr>
          <w:rFonts w:ascii="Tahoma" w:eastAsia="Tahoma" w:hAnsi="Tahoma" w:cs="Tahoma"/>
          <w:sz w:val="24"/>
          <w:szCs w:val="24"/>
        </w:rPr>
        <w:t xml:space="preserve"> </w:t>
      </w:r>
      <w:proofErr w:type="spellStart"/>
      <w:r>
        <w:rPr>
          <w:rFonts w:ascii="Tahoma" w:eastAsia="Tahoma" w:hAnsi="Tahoma" w:cs="Tahoma"/>
          <w:sz w:val="24"/>
          <w:szCs w:val="24"/>
        </w:rPr>
        <w:t>efetivas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implicação</w:t>
      </w:r>
      <w:proofErr w:type="spellEnd"/>
      <w:r>
        <w:rPr>
          <w:rFonts w:ascii="Tahoma" w:eastAsia="Tahoma" w:hAnsi="Tahoma" w:cs="Tahoma"/>
          <w:sz w:val="24"/>
          <w:szCs w:val="24"/>
        </w:rPr>
        <w:t xml:space="preserve"> dos </w:t>
      </w:r>
      <w:proofErr w:type="spellStart"/>
      <w:r>
        <w:rPr>
          <w:rFonts w:ascii="Tahoma" w:eastAsia="Tahoma" w:hAnsi="Tahoma" w:cs="Tahoma"/>
          <w:sz w:val="24"/>
          <w:szCs w:val="24"/>
        </w:rPr>
        <w:t>profissionais</w:t>
      </w:r>
      <w:proofErr w:type="spellEnd"/>
      <w:r>
        <w:rPr>
          <w:rFonts w:ascii="Tahoma" w:eastAsia="Tahoma" w:hAnsi="Tahoma" w:cs="Tahoma"/>
          <w:sz w:val="24"/>
          <w:szCs w:val="24"/>
        </w:rPr>
        <w:t xml:space="preserve"> na </w:t>
      </w:r>
      <w:proofErr w:type="spellStart"/>
      <w:r>
        <w:rPr>
          <w:rFonts w:ascii="Tahoma" w:eastAsia="Tahoma" w:hAnsi="Tahoma" w:cs="Tahoma"/>
          <w:sz w:val="24"/>
          <w:szCs w:val="24"/>
        </w:rPr>
        <w:t>esquematização</w:t>
      </w:r>
      <w:proofErr w:type="spellEnd"/>
      <w:r>
        <w:rPr>
          <w:rFonts w:ascii="Tahoma" w:eastAsia="Tahoma" w:hAnsi="Tahoma" w:cs="Tahoma"/>
          <w:sz w:val="24"/>
          <w:szCs w:val="24"/>
        </w:rPr>
        <w:t xml:space="preserve"> do </w:t>
      </w:r>
      <w:proofErr w:type="spellStart"/>
      <w:r>
        <w:rPr>
          <w:rFonts w:ascii="Tahoma" w:eastAsia="Tahoma" w:hAnsi="Tahoma" w:cs="Tahoma"/>
          <w:sz w:val="24"/>
          <w:szCs w:val="24"/>
        </w:rPr>
        <w:t>processo</w:t>
      </w:r>
      <w:proofErr w:type="spellEnd"/>
      <w:r>
        <w:rPr>
          <w:rFonts w:ascii="Tahoma" w:eastAsia="Tahoma" w:hAnsi="Tahoma" w:cs="Tahoma"/>
          <w:sz w:val="24"/>
          <w:szCs w:val="24"/>
        </w:rPr>
        <w:t xml:space="preserve">, </w:t>
      </w:r>
      <w:proofErr w:type="spellStart"/>
      <w:r>
        <w:rPr>
          <w:rFonts w:ascii="Tahoma" w:eastAsia="Tahoma" w:hAnsi="Tahoma" w:cs="Tahoma"/>
          <w:sz w:val="24"/>
          <w:szCs w:val="24"/>
        </w:rPr>
        <w:t>eficácia</w:t>
      </w:r>
      <w:proofErr w:type="spellEnd"/>
      <w:r>
        <w:rPr>
          <w:rFonts w:ascii="Tahoma" w:eastAsia="Tahoma" w:hAnsi="Tahoma" w:cs="Tahoma"/>
          <w:sz w:val="24"/>
          <w:szCs w:val="24"/>
        </w:rPr>
        <w:t xml:space="preserve"> dos dinamizadores </w:t>
      </w:r>
      <w:proofErr w:type="spellStart"/>
      <w:r>
        <w:rPr>
          <w:rFonts w:ascii="Tahoma" w:eastAsia="Tahoma" w:hAnsi="Tahoma" w:cs="Tahoma"/>
          <w:sz w:val="24"/>
          <w:szCs w:val="24"/>
        </w:rPr>
        <w:t>ou</w:t>
      </w:r>
      <w:proofErr w:type="spellEnd"/>
      <w:r>
        <w:rPr>
          <w:rFonts w:ascii="Tahoma" w:eastAsia="Tahoma" w:hAnsi="Tahoma" w:cs="Tahoma"/>
          <w:sz w:val="24"/>
          <w:szCs w:val="24"/>
        </w:rPr>
        <w:t xml:space="preserve"> </w:t>
      </w:r>
      <w:proofErr w:type="spellStart"/>
      <w:r>
        <w:rPr>
          <w:rFonts w:ascii="Tahoma" w:eastAsia="Tahoma" w:hAnsi="Tahoma" w:cs="Tahoma"/>
          <w:sz w:val="24"/>
          <w:szCs w:val="24"/>
        </w:rPr>
        <w:t>reforços</w:t>
      </w:r>
      <w:proofErr w:type="spellEnd"/>
      <w:r>
        <w:rPr>
          <w:rFonts w:ascii="Tahoma" w:eastAsia="Tahoma" w:hAnsi="Tahoma" w:cs="Tahoma"/>
          <w:sz w:val="24"/>
          <w:szCs w:val="24"/>
        </w:rPr>
        <w:t xml:space="preserve"> positivos na forma de incentivos).</w:t>
      </w:r>
    </w:p>
    <w:p w:rsidR="00002CA6" w:rsidRDefault="00002CA6" w:rsidP="00002CA6">
      <w:pPr>
        <w:tabs>
          <w:tab w:val="left" w:pos="6235"/>
          <w:tab w:val="left" w:pos="8800"/>
        </w:tabs>
        <w:spacing w:after="0"/>
        <w:ind w:hanging="2"/>
        <w:jc w:val="both"/>
        <w:rPr>
          <w:rFonts w:ascii="Tahoma" w:eastAsia="Tahoma" w:hAnsi="Tahoma" w:cs="Tahoma"/>
          <w:sz w:val="24"/>
          <w:szCs w:val="24"/>
        </w:rPr>
      </w:pPr>
      <w:proofErr w:type="spellStart"/>
      <w:r>
        <w:rPr>
          <w:rFonts w:ascii="Tahoma" w:eastAsia="Tahoma" w:hAnsi="Tahoma" w:cs="Tahoma"/>
          <w:b/>
          <w:sz w:val="24"/>
          <w:szCs w:val="24"/>
        </w:rPr>
        <w:t>Conclusões</w:t>
      </w:r>
      <w:proofErr w:type="spellEnd"/>
      <w:r>
        <w:rPr>
          <w:rFonts w:ascii="Tahoma" w:eastAsia="Tahoma" w:hAnsi="Tahoma" w:cs="Tahoma"/>
          <w:b/>
          <w:sz w:val="24"/>
          <w:szCs w:val="24"/>
        </w:rPr>
        <w:t xml:space="preserve">: </w:t>
      </w:r>
      <w:r>
        <w:rPr>
          <w:rFonts w:ascii="Tahoma" w:eastAsia="Tahoma" w:hAnsi="Tahoma" w:cs="Tahoma"/>
          <w:sz w:val="24"/>
          <w:szCs w:val="24"/>
        </w:rPr>
        <w:t xml:space="preserve">O </w:t>
      </w:r>
      <w:proofErr w:type="spellStart"/>
      <w:r>
        <w:rPr>
          <w:rFonts w:ascii="Tahoma" w:eastAsia="Tahoma" w:hAnsi="Tahoma" w:cs="Tahoma"/>
          <w:sz w:val="24"/>
          <w:szCs w:val="24"/>
        </w:rPr>
        <w:t>profissionalismo</w:t>
      </w:r>
      <w:proofErr w:type="spellEnd"/>
      <w:r>
        <w:rPr>
          <w:rFonts w:ascii="Tahoma" w:eastAsia="Tahoma" w:hAnsi="Tahoma" w:cs="Tahoma"/>
          <w:sz w:val="24"/>
          <w:szCs w:val="24"/>
        </w:rPr>
        <w:t xml:space="preserve"> e a </w:t>
      </w:r>
      <w:proofErr w:type="spellStart"/>
      <w:r>
        <w:rPr>
          <w:rFonts w:ascii="Tahoma" w:eastAsia="Tahoma" w:hAnsi="Tahoma" w:cs="Tahoma"/>
          <w:sz w:val="24"/>
          <w:szCs w:val="24"/>
        </w:rPr>
        <w:t>quantidade</w:t>
      </w:r>
      <w:proofErr w:type="spellEnd"/>
      <w:r>
        <w:rPr>
          <w:rFonts w:ascii="Tahoma" w:eastAsia="Tahoma" w:hAnsi="Tahoma" w:cs="Tahoma"/>
          <w:sz w:val="24"/>
          <w:szCs w:val="24"/>
        </w:rPr>
        <w:t xml:space="preserve"> de anos na </w:t>
      </w:r>
      <w:proofErr w:type="spellStart"/>
      <w:r>
        <w:rPr>
          <w:rFonts w:ascii="Tahoma" w:eastAsia="Tahoma" w:hAnsi="Tahoma" w:cs="Tahoma"/>
          <w:sz w:val="24"/>
          <w:szCs w:val="24"/>
        </w:rPr>
        <w:t>função</w:t>
      </w:r>
      <w:proofErr w:type="spellEnd"/>
      <w:r>
        <w:rPr>
          <w:rFonts w:ascii="Tahoma" w:eastAsia="Tahoma" w:hAnsi="Tahoma" w:cs="Tahoma"/>
          <w:sz w:val="24"/>
          <w:szCs w:val="24"/>
        </w:rPr>
        <w:t xml:space="preserve"> do time pode ter </w:t>
      </w:r>
      <w:proofErr w:type="spellStart"/>
      <w:r>
        <w:rPr>
          <w:rFonts w:ascii="Tahoma" w:eastAsia="Tahoma" w:hAnsi="Tahoma" w:cs="Tahoma"/>
          <w:sz w:val="24"/>
          <w:szCs w:val="24"/>
        </w:rPr>
        <w:t>contribuído</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com</w:t>
      </w:r>
      <w:proofErr w:type="spellEnd"/>
      <w:r>
        <w:rPr>
          <w:rFonts w:ascii="Tahoma" w:eastAsia="Tahoma" w:hAnsi="Tahoma" w:cs="Tahoma"/>
          <w:sz w:val="24"/>
          <w:szCs w:val="24"/>
        </w:rPr>
        <w:t xml:space="preserve"> a </w:t>
      </w:r>
      <w:proofErr w:type="spellStart"/>
      <w:r>
        <w:rPr>
          <w:rFonts w:ascii="Tahoma" w:eastAsia="Tahoma" w:hAnsi="Tahoma" w:cs="Tahoma"/>
          <w:sz w:val="24"/>
          <w:szCs w:val="24"/>
        </w:rPr>
        <w:t>rejeição</w:t>
      </w:r>
      <w:proofErr w:type="spellEnd"/>
      <w:r>
        <w:rPr>
          <w:rFonts w:ascii="Tahoma" w:eastAsia="Tahoma" w:hAnsi="Tahoma" w:cs="Tahoma"/>
          <w:sz w:val="24"/>
          <w:szCs w:val="24"/>
        </w:rPr>
        <w:t xml:space="preserve"> </w:t>
      </w:r>
      <w:proofErr w:type="spellStart"/>
      <w:r>
        <w:rPr>
          <w:rFonts w:ascii="Tahoma" w:eastAsia="Tahoma" w:hAnsi="Tahoma" w:cs="Tahoma"/>
          <w:sz w:val="24"/>
          <w:szCs w:val="24"/>
        </w:rPr>
        <w:t>às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mudanças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embora</w:t>
      </w:r>
      <w:proofErr w:type="spellEnd"/>
      <w:r>
        <w:rPr>
          <w:rFonts w:ascii="Tahoma" w:eastAsia="Tahoma" w:hAnsi="Tahoma" w:cs="Tahoma"/>
          <w:sz w:val="24"/>
          <w:szCs w:val="24"/>
        </w:rPr>
        <w:t xml:space="preserve"> </w:t>
      </w:r>
      <w:proofErr w:type="spellStart"/>
      <w:r>
        <w:rPr>
          <w:rFonts w:ascii="Tahoma" w:eastAsia="Tahoma" w:hAnsi="Tahoma" w:cs="Tahoma"/>
          <w:sz w:val="24"/>
          <w:szCs w:val="24"/>
        </w:rPr>
        <w:t>tenha</w:t>
      </w:r>
      <w:proofErr w:type="spellEnd"/>
      <w:r>
        <w:rPr>
          <w:rFonts w:ascii="Tahoma" w:eastAsia="Tahoma" w:hAnsi="Tahoma" w:cs="Tahoma"/>
          <w:sz w:val="24"/>
          <w:szCs w:val="24"/>
        </w:rPr>
        <w:t xml:space="preserve"> garantido </w:t>
      </w:r>
      <w:proofErr w:type="spellStart"/>
      <w:r>
        <w:rPr>
          <w:rFonts w:ascii="Tahoma" w:eastAsia="Tahoma" w:hAnsi="Tahoma" w:cs="Tahoma"/>
          <w:sz w:val="24"/>
          <w:szCs w:val="24"/>
        </w:rPr>
        <w:t>implantá</w:t>
      </w:r>
      <w:proofErr w:type="spellEnd"/>
      <w:r>
        <w:rPr>
          <w:rFonts w:ascii="Tahoma" w:eastAsia="Tahoma" w:hAnsi="Tahoma" w:cs="Tahoma"/>
          <w:sz w:val="24"/>
          <w:szCs w:val="24"/>
        </w:rPr>
        <w:t xml:space="preserve">-lo </w:t>
      </w:r>
      <w:proofErr w:type="spellStart"/>
      <w:r>
        <w:rPr>
          <w:rFonts w:ascii="Tahoma" w:eastAsia="Tahoma" w:hAnsi="Tahoma" w:cs="Tahoma"/>
          <w:sz w:val="24"/>
          <w:szCs w:val="24"/>
        </w:rPr>
        <w:t>com</w:t>
      </w:r>
      <w:proofErr w:type="spellEnd"/>
      <w:r>
        <w:rPr>
          <w:rFonts w:ascii="Tahoma" w:eastAsia="Tahoma" w:hAnsi="Tahoma" w:cs="Tahoma"/>
          <w:sz w:val="24"/>
          <w:szCs w:val="24"/>
        </w:rPr>
        <w:t xml:space="preserve"> </w:t>
      </w:r>
      <w:proofErr w:type="spellStart"/>
      <w:r>
        <w:rPr>
          <w:rFonts w:ascii="Tahoma" w:eastAsia="Tahoma" w:hAnsi="Tahoma" w:cs="Tahoma"/>
          <w:sz w:val="24"/>
          <w:szCs w:val="24"/>
        </w:rPr>
        <w:t>poucos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conflitos</w:t>
      </w:r>
      <w:proofErr w:type="spellEnd"/>
      <w:r>
        <w:rPr>
          <w:rFonts w:ascii="Tahoma" w:eastAsia="Tahoma" w:hAnsi="Tahoma" w:cs="Tahoma"/>
          <w:sz w:val="24"/>
          <w:szCs w:val="24"/>
        </w:rPr>
        <w:t xml:space="preserve">. </w:t>
      </w:r>
      <w:proofErr w:type="spellStart"/>
      <w:r>
        <w:rPr>
          <w:rFonts w:ascii="Tahoma" w:eastAsia="Tahoma" w:hAnsi="Tahoma" w:cs="Tahoma"/>
          <w:sz w:val="24"/>
          <w:szCs w:val="24"/>
        </w:rPr>
        <w:t>Algumas</w:t>
      </w:r>
      <w:proofErr w:type="spellEnd"/>
      <w:r>
        <w:rPr>
          <w:rFonts w:ascii="Tahoma" w:eastAsia="Tahoma" w:hAnsi="Tahoma" w:cs="Tahoma"/>
          <w:sz w:val="24"/>
          <w:szCs w:val="24"/>
        </w:rPr>
        <w:t xml:space="preserve"> das </w:t>
      </w:r>
      <w:proofErr w:type="spellStart"/>
      <w:r>
        <w:rPr>
          <w:rFonts w:ascii="Tahoma" w:eastAsia="Tahoma" w:hAnsi="Tahoma" w:cs="Tahoma"/>
          <w:sz w:val="24"/>
          <w:szCs w:val="24"/>
        </w:rPr>
        <w:t>estratégias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eficazes</w:t>
      </w:r>
      <w:proofErr w:type="spellEnd"/>
      <w:r>
        <w:rPr>
          <w:rFonts w:ascii="Tahoma" w:eastAsia="Tahoma" w:hAnsi="Tahoma" w:cs="Tahoma"/>
          <w:sz w:val="24"/>
          <w:szCs w:val="24"/>
        </w:rPr>
        <w:t xml:space="preserve"> para superar a </w:t>
      </w:r>
      <w:proofErr w:type="spellStart"/>
      <w:r>
        <w:rPr>
          <w:rFonts w:ascii="Tahoma" w:eastAsia="Tahoma" w:hAnsi="Tahoma" w:cs="Tahoma"/>
          <w:sz w:val="24"/>
          <w:szCs w:val="24"/>
        </w:rPr>
        <w:t>resistência</w:t>
      </w:r>
      <w:proofErr w:type="spellEnd"/>
      <w:r>
        <w:rPr>
          <w:rFonts w:ascii="Tahoma" w:eastAsia="Tahoma" w:hAnsi="Tahoma" w:cs="Tahoma"/>
          <w:sz w:val="24"/>
          <w:szCs w:val="24"/>
        </w:rPr>
        <w:t xml:space="preserve"> </w:t>
      </w:r>
      <w:proofErr w:type="spellStart"/>
      <w:r>
        <w:rPr>
          <w:rFonts w:ascii="Tahoma" w:eastAsia="Tahoma" w:hAnsi="Tahoma" w:cs="Tahoma"/>
          <w:sz w:val="24"/>
          <w:szCs w:val="24"/>
        </w:rPr>
        <w:t>temos</w:t>
      </w:r>
      <w:proofErr w:type="spellEnd"/>
      <w:r>
        <w:rPr>
          <w:rFonts w:ascii="Tahoma" w:eastAsia="Tahoma" w:hAnsi="Tahoma" w:cs="Tahoma"/>
          <w:sz w:val="24"/>
          <w:szCs w:val="24"/>
        </w:rPr>
        <w:t xml:space="preserve"> os </w:t>
      </w:r>
      <w:proofErr w:type="spellStart"/>
      <w:r>
        <w:rPr>
          <w:rFonts w:ascii="Tahoma" w:eastAsia="Tahoma" w:hAnsi="Tahoma" w:cs="Tahoma"/>
          <w:sz w:val="24"/>
          <w:szCs w:val="24"/>
        </w:rPr>
        <w:t>reforços</w:t>
      </w:r>
      <w:proofErr w:type="spellEnd"/>
      <w:r>
        <w:rPr>
          <w:rFonts w:ascii="Tahoma" w:eastAsia="Tahoma" w:hAnsi="Tahoma" w:cs="Tahoma"/>
          <w:sz w:val="24"/>
          <w:szCs w:val="24"/>
        </w:rPr>
        <w:t xml:space="preserve"> positivos, a </w:t>
      </w:r>
      <w:proofErr w:type="spellStart"/>
      <w:r>
        <w:rPr>
          <w:rFonts w:ascii="Tahoma" w:eastAsia="Tahoma" w:hAnsi="Tahoma" w:cs="Tahoma"/>
          <w:sz w:val="24"/>
          <w:szCs w:val="24"/>
        </w:rPr>
        <w:t>participação</w:t>
      </w:r>
      <w:proofErr w:type="spellEnd"/>
      <w:r>
        <w:rPr>
          <w:rFonts w:ascii="Tahoma" w:eastAsia="Tahoma" w:hAnsi="Tahoma" w:cs="Tahoma"/>
          <w:sz w:val="24"/>
          <w:szCs w:val="24"/>
        </w:rPr>
        <w:t xml:space="preserve"> na </w:t>
      </w:r>
      <w:proofErr w:type="spellStart"/>
      <w:r>
        <w:rPr>
          <w:rFonts w:ascii="Tahoma" w:eastAsia="Tahoma" w:hAnsi="Tahoma" w:cs="Tahoma"/>
          <w:sz w:val="24"/>
          <w:szCs w:val="24"/>
        </w:rPr>
        <w:t>criação</w:t>
      </w:r>
      <w:proofErr w:type="spellEnd"/>
      <w:r>
        <w:rPr>
          <w:rFonts w:ascii="Tahoma" w:eastAsia="Tahoma" w:hAnsi="Tahoma" w:cs="Tahoma"/>
          <w:sz w:val="24"/>
          <w:szCs w:val="24"/>
        </w:rPr>
        <w:t xml:space="preserve"> dos </w:t>
      </w:r>
      <w:proofErr w:type="spellStart"/>
      <w:r>
        <w:rPr>
          <w:rFonts w:ascii="Tahoma" w:eastAsia="Tahoma" w:hAnsi="Tahoma" w:cs="Tahoma"/>
          <w:sz w:val="24"/>
          <w:szCs w:val="24"/>
        </w:rPr>
        <w:t>profissionais</w:t>
      </w:r>
      <w:proofErr w:type="spellEnd"/>
      <w:r>
        <w:rPr>
          <w:rFonts w:ascii="Tahoma" w:eastAsia="Tahoma" w:hAnsi="Tahoma" w:cs="Tahoma"/>
          <w:sz w:val="24"/>
          <w:szCs w:val="24"/>
        </w:rPr>
        <w:t xml:space="preserve"> e o aumento da </w:t>
      </w:r>
      <w:proofErr w:type="spellStart"/>
      <w:r>
        <w:rPr>
          <w:rFonts w:ascii="Tahoma" w:eastAsia="Tahoma" w:hAnsi="Tahoma" w:cs="Tahoma"/>
          <w:sz w:val="24"/>
          <w:szCs w:val="24"/>
        </w:rPr>
        <w:t>comunicação</w:t>
      </w:r>
      <w:proofErr w:type="spellEnd"/>
      <w:r>
        <w:rPr>
          <w:rFonts w:ascii="Tahoma" w:eastAsia="Tahoma" w:hAnsi="Tahoma" w:cs="Tahoma"/>
          <w:sz w:val="24"/>
          <w:szCs w:val="24"/>
        </w:rPr>
        <w:t xml:space="preserve"> </w:t>
      </w:r>
      <w:proofErr w:type="spellStart"/>
      <w:r>
        <w:rPr>
          <w:rFonts w:ascii="Tahoma" w:eastAsia="Tahoma" w:hAnsi="Tahoma" w:cs="Tahoma"/>
          <w:sz w:val="24"/>
          <w:szCs w:val="24"/>
        </w:rPr>
        <w:t>bidirecional</w:t>
      </w:r>
      <w:proofErr w:type="spellEnd"/>
      <w:r>
        <w:rPr>
          <w:rFonts w:ascii="Tahoma" w:eastAsia="Tahoma" w:hAnsi="Tahoma" w:cs="Tahoma"/>
          <w:sz w:val="24"/>
          <w:szCs w:val="24"/>
        </w:rPr>
        <w:t xml:space="preserve"> fundamentada </w:t>
      </w:r>
      <w:proofErr w:type="spellStart"/>
      <w:r>
        <w:rPr>
          <w:rFonts w:ascii="Tahoma" w:eastAsia="Tahoma" w:hAnsi="Tahoma" w:cs="Tahoma"/>
          <w:sz w:val="24"/>
          <w:szCs w:val="24"/>
        </w:rPr>
        <w:t>nas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próprias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tecnologias</w:t>
      </w:r>
      <w:proofErr w:type="spellEnd"/>
      <w:r>
        <w:rPr>
          <w:rFonts w:ascii="Tahoma" w:eastAsia="Tahoma" w:hAnsi="Tahoma" w:cs="Tahoma"/>
          <w:sz w:val="24"/>
          <w:szCs w:val="24"/>
        </w:rPr>
        <w:t xml:space="preserve"> (redes </w:t>
      </w:r>
      <w:proofErr w:type="spellStart"/>
      <w:r>
        <w:rPr>
          <w:rFonts w:ascii="Tahoma" w:eastAsia="Tahoma" w:hAnsi="Tahoma" w:cs="Tahoma"/>
          <w:sz w:val="24"/>
          <w:szCs w:val="24"/>
        </w:rPr>
        <w:t>sociais</w:t>
      </w:r>
      <w:proofErr w:type="spellEnd"/>
      <w:r>
        <w:rPr>
          <w:rFonts w:ascii="Tahoma" w:eastAsia="Tahoma" w:hAnsi="Tahoma" w:cs="Tahoma"/>
          <w:sz w:val="24"/>
          <w:szCs w:val="24"/>
        </w:rPr>
        <w:t>).</w:t>
      </w:r>
    </w:p>
    <w:p w:rsidR="00002CA6" w:rsidRDefault="00002CA6" w:rsidP="00002CA6">
      <w:pPr>
        <w:widowControl w:val="0"/>
        <w:tabs>
          <w:tab w:val="left" w:pos="8800"/>
        </w:tabs>
        <w:spacing w:after="0"/>
        <w:ind w:hanging="2"/>
        <w:jc w:val="both"/>
        <w:rPr>
          <w:rFonts w:ascii="Tahoma" w:eastAsia="Tahoma" w:hAnsi="Tahoma" w:cs="Tahoma"/>
          <w:sz w:val="24"/>
          <w:szCs w:val="24"/>
        </w:rPr>
      </w:pPr>
    </w:p>
    <w:p w:rsidR="00002CA6" w:rsidRDefault="00002CA6" w:rsidP="00002CA6">
      <w:pPr>
        <w:widowControl w:val="0"/>
        <w:tabs>
          <w:tab w:val="left" w:pos="8800"/>
        </w:tabs>
        <w:spacing w:after="0"/>
        <w:ind w:hanging="2"/>
        <w:jc w:val="both"/>
        <w:rPr>
          <w:rFonts w:ascii="Tahoma" w:eastAsia="Tahoma" w:hAnsi="Tahoma" w:cs="Tahoma"/>
          <w:sz w:val="24"/>
          <w:szCs w:val="24"/>
        </w:rPr>
      </w:pPr>
      <w:r>
        <w:rPr>
          <w:rFonts w:ascii="Tahoma" w:eastAsia="Tahoma" w:hAnsi="Tahoma" w:cs="Tahoma"/>
          <w:b/>
          <w:sz w:val="24"/>
          <w:szCs w:val="24"/>
        </w:rPr>
        <w:t xml:space="preserve">PALAVRAS CHAVE: </w:t>
      </w:r>
      <w:r>
        <w:rPr>
          <w:rFonts w:ascii="Tahoma" w:eastAsia="Tahoma" w:hAnsi="Tahoma" w:cs="Tahoma"/>
          <w:sz w:val="24"/>
          <w:szCs w:val="24"/>
        </w:rPr>
        <w:t xml:space="preserve">TICS - </w:t>
      </w:r>
      <w:proofErr w:type="spellStart"/>
      <w:r>
        <w:rPr>
          <w:rFonts w:ascii="Tahoma" w:eastAsia="Tahoma" w:hAnsi="Tahoma" w:cs="Tahoma"/>
          <w:sz w:val="24"/>
          <w:szCs w:val="24"/>
        </w:rPr>
        <w:t>meios</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t>comunicação</w:t>
      </w:r>
      <w:proofErr w:type="spellEnd"/>
      <w:r>
        <w:rPr>
          <w:rFonts w:ascii="Tahoma" w:eastAsia="Tahoma" w:hAnsi="Tahoma" w:cs="Tahoma"/>
          <w:sz w:val="24"/>
          <w:szCs w:val="24"/>
        </w:rPr>
        <w:t xml:space="preserve"> - </w:t>
      </w:r>
      <w:proofErr w:type="spellStart"/>
      <w:r>
        <w:rPr>
          <w:rFonts w:ascii="Tahoma" w:eastAsia="Tahoma" w:hAnsi="Tahoma" w:cs="Tahoma"/>
          <w:sz w:val="24"/>
          <w:szCs w:val="24"/>
        </w:rPr>
        <w:t>resistência</w:t>
      </w:r>
      <w:proofErr w:type="spellEnd"/>
      <w:r>
        <w:rPr>
          <w:rFonts w:ascii="Tahoma" w:eastAsia="Tahoma" w:hAnsi="Tahoma" w:cs="Tahoma"/>
          <w:sz w:val="24"/>
          <w:szCs w:val="24"/>
        </w:rPr>
        <w:t xml:space="preserve"> </w:t>
      </w:r>
      <w:proofErr w:type="spellStart"/>
      <w:r>
        <w:rPr>
          <w:rFonts w:ascii="Tahoma" w:eastAsia="Tahoma" w:hAnsi="Tahoma" w:cs="Tahoma"/>
          <w:sz w:val="24"/>
          <w:szCs w:val="24"/>
        </w:rPr>
        <w:t>às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mudanças</w:t>
      </w:r>
      <w:proofErr w:type="spellEnd"/>
      <w:r>
        <w:rPr>
          <w:rFonts w:ascii="Tahoma" w:eastAsia="Tahoma" w:hAnsi="Tahoma" w:cs="Tahoma"/>
          <w:sz w:val="24"/>
          <w:szCs w:val="24"/>
        </w:rPr>
        <w:t xml:space="preserve"> – </w:t>
      </w:r>
      <w:proofErr w:type="spellStart"/>
      <w:r>
        <w:rPr>
          <w:rFonts w:ascii="Tahoma" w:eastAsia="Tahoma" w:hAnsi="Tahoma" w:cs="Tahoma"/>
          <w:sz w:val="24"/>
          <w:szCs w:val="24"/>
        </w:rPr>
        <w:t>redatores</w:t>
      </w:r>
      <w:proofErr w:type="spellEnd"/>
      <w:r>
        <w:rPr>
          <w:rFonts w:ascii="Tahoma" w:eastAsia="Tahoma" w:hAnsi="Tahoma" w:cs="Tahoma"/>
          <w:sz w:val="24"/>
          <w:szCs w:val="24"/>
        </w:rPr>
        <w:t xml:space="preserve"> – pandemia – Informativos - </w:t>
      </w:r>
      <w:proofErr w:type="spellStart"/>
      <w:r>
        <w:rPr>
          <w:rFonts w:ascii="Tahoma" w:eastAsia="Tahoma" w:hAnsi="Tahoma" w:cs="Tahoma"/>
          <w:sz w:val="24"/>
          <w:szCs w:val="24"/>
        </w:rPr>
        <w:t>digitalização</w:t>
      </w:r>
      <w:proofErr w:type="spellEnd"/>
      <w:r>
        <w:rPr>
          <w:rFonts w:ascii="Tahoma" w:eastAsia="Tahoma" w:hAnsi="Tahoma" w:cs="Tahoma"/>
          <w:sz w:val="24"/>
          <w:szCs w:val="24"/>
        </w:rPr>
        <w:t>.</w:t>
      </w:r>
    </w:p>
    <w:p w:rsidR="009B5769" w:rsidRPr="009B5769" w:rsidRDefault="009B5769" w:rsidP="00740778">
      <w:pPr>
        <w:autoSpaceDE w:val="0"/>
        <w:autoSpaceDN w:val="0"/>
        <w:adjustRightInd w:val="0"/>
        <w:spacing w:after="0"/>
        <w:jc w:val="both"/>
        <w:rPr>
          <w:rFonts w:ascii="Tahoma" w:hAnsi="Tahoma" w:cs="Tahoma"/>
          <w:color w:val="00B050"/>
          <w:sz w:val="24"/>
          <w:szCs w:val="24"/>
          <w:lang w:val="es-CL"/>
        </w:rPr>
      </w:pPr>
    </w:p>
    <w:p w:rsidR="00D52EA2" w:rsidRPr="00F21E9C" w:rsidRDefault="00D52EA2" w:rsidP="00740778">
      <w:pPr>
        <w:tabs>
          <w:tab w:val="left" w:pos="8800"/>
        </w:tabs>
        <w:autoSpaceDE w:val="0"/>
        <w:autoSpaceDN w:val="0"/>
        <w:adjustRightInd w:val="0"/>
        <w:spacing w:after="0"/>
        <w:jc w:val="both"/>
        <w:rPr>
          <w:rFonts w:ascii="Tahoma" w:hAnsi="Tahoma" w:cs="Tahoma"/>
          <w:color w:val="000000"/>
          <w:sz w:val="24"/>
          <w:szCs w:val="24"/>
        </w:rPr>
      </w:pPr>
    </w:p>
    <w:p w:rsidR="00D52EA2" w:rsidRPr="00F21E9C" w:rsidRDefault="00D52EA2" w:rsidP="00740778">
      <w:pPr>
        <w:tabs>
          <w:tab w:val="left" w:pos="8800"/>
        </w:tabs>
        <w:autoSpaceDE w:val="0"/>
        <w:autoSpaceDN w:val="0"/>
        <w:adjustRightInd w:val="0"/>
        <w:spacing w:after="0"/>
        <w:jc w:val="both"/>
        <w:rPr>
          <w:rFonts w:ascii="Tahoma" w:hAnsi="Tahoma" w:cs="Tahoma"/>
          <w:b/>
          <w:sz w:val="24"/>
          <w:szCs w:val="24"/>
        </w:rPr>
      </w:pPr>
      <w:r w:rsidRPr="00F21E9C">
        <w:rPr>
          <w:rFonts w:ascii="Tahoma" w:hAnsi="Tahoma" w:cs="Tahoma"/>
          <w:b/>
          <w:sz w:val="24"/>
          <w:szCs w:val="24"/>
        </w:rPr>
        <w:t xml:space="preserve">1. INTRODUCCIÓN </w:t>
      </w:r>
    </w:p>
    <w:p w:rsidR="00D52EA2" w:rsidRPr="00F21E9C" w:rsidRDefault="00D52EA2" w:rsidP="00740778">
      <w:pPr>
        <w:tabs>
          <w:tab w:val="left" w:pos="8800"/>
        </w:tabs>
        <w:autoSpaceDE w:val="0"/>
        <w:autoSpaceDN w:val="0"/>
        <w:adjustRightInd w:val="0"/>
        <w:spacing w:after="0"/>
        <w:jc w:val="both"/>
        <w:rPr>
          <w:rFonts w:ascii="Tahoma" w:hAnsi="Tahoma" w:cs="Tahoma"/>
          <w:b/>
          <w:sz w:val="24"/>
          <w:szCs w:val="24"/>
        </w:rPr>
      </w:pPr>
    </w:p>
    <w:p w:rsidR="00D52EA2" w:rsidRPr="00F21E9C" w:rsidRDefault="00D52EA2" w:rsidP="00740778">
      <w:pPr>
        <w:autoSpaceDE w:val="0"/>
        <w:autoSpaceDN w:val="0"/>
        <w:adjustRightInd w:val="0"/>
        <w:spacing w:after="0"/>
        <w:ind w:firstLine="284"/>
        <w:jc w:val="both"/>
        <w:rPr>
          <w:rFonts w:ascii="Tahoma" w:eastAsia="Times" w:hAnsi="Tahoma" w:cs="Tahoma"/>
          <w:sz w:val="24"/>
          <w:szCs w:val="24"/>
        </w:rPr>
      </w:pPr>
      <w:bookmarkStart w:id="2" w:name="_Hlk53746567"/>
      <w:r w:rsidRPr="00F21E9C">
        <w:rPr>
          <w:rFonts w:ascii="Tahoma" w:eastAsia="Times" w:hAnsi="Tahoma" w:cs="Tahoma"/>
          <w:sz w:val="24"/>
          <w:szCs w:val="24"/>
        </w:rPr>
        <w:t xml:space="preserve">El desarrollo de las tecnologías de la información y la comunicación (TIC) ha provocado, especialmente entre los más jóvenes, nuevos hábitos de consumo audiovisual en los que las series de ficción cobran gran protagonismo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{"citationItems":[{"id":"ITEM-1","itemData":{"ISSN":"2444-0132","abstract":"This article aims to analyze the audiovisual consumption patterns of 12 to 16 year-old adolescents, with particular emphasis on the television fiction contents. In order to understand the role of television series in the era of audiovisual digitization, we have analyzed the preferences, motivations and practices of the adolescents. The study presents quantitative and qualitative data collected in 2011, two years after the digital switchover of television at the study area. This period is considered as the beginning of the digital era, and is characterized by new ways of audiovisual production, transmission and consumption, which have been considered. Questionnaires filled by 852 adolescents, as well as 26 interviews and 16 social network profiles, have been analyzed. The results showed that although consumption of fiction content is closely related to traditional television consumption practices, new expressions and experiences have arisen through the Internet. KEY WORDS television, television digitalization, audiovisual media, adolescents, TV series RESUMEN El presente artículo tiene como objetivo analizar los patrones de consumo audiovisual de los adolescentes de entre 12 y 16 años, haciendo especial hincapié en los contenidos de ficción televisiva. Con el fin de entender el rol de las series de televisión en la era de la digitalización audiovisual, se han analizado las preferencias audiovisuales de estos adolescentes y sus motivaciones, así como sus prácticas alrededor de estos contenidos. En esta investigación se exponen datos cuantitativos y cualitativos recogidos en 2011, años posteriores al apagón analógico de la televisión y que marcan el comienzo de una nueva era audiovisual con nuevas particularidades en la producción, emisión y consumo de contenidos audiovisuales. Se analizan los cuestionarios de 852 adolescentes, así como 26 entrevistas en profundidad y 16 perfiles de la red social Tuenti, con el fin de radiografiar los usos que los jóvenes realizan alrededor de las series de televisión. Los resultados demuestran que, aunque el consumo de contenidos de ficción está estrechamente relacionado con prácticas tradicionales de consumo televisivo, han surgido nuevas expresiones y experiencias a través de Internet. PALABRAS CLAVE televisión, digitalización televisiva, audiovisual, adolescencia, series de televsión Consumo de series de televisión de los adolescentes en la era de la digitalización audiovisual: prácticas y motivaciones","author":[{"dropping-particle":"","family":"Pavón-Arrizabalaga","given":"Amaia","non-dropping-particle":"","parse-names":false,"suffix":""},{"dropping-particle":"","family":"Zuberogoitia","given":"Aitor","non-dropping-particle":"","parse-names":false,"suffix":""},{"dropping-particle":"","family":"Astigarraga","given":"Idoia","non-dropping-particle":"","parse-names":false,"suffix":""},{"dropping-particle":"","family":"Unibertsitatea","given":"Mondragon","non-dropping-particle":"","parse-names":false,"suffix":""},{"dropping-particle":"","family":"Juaristi","given":"Patxi","non-dropping-particle":"","parse-names":false,"suffix":""}],"container-title":"Dígitos, Revista de Comunicación Digital","id":"ITEM-1","issue":"2","issued":{"date-parts":[["2016"]]},"note":"Teenagers ’ Consumption of TV Series in the Era of TV Digitalization : Uses and Gratifications","page":"35-52","title":"Consumo de series de televisión de los adolescentes en la era de la digitalización audiovisual : prácticas y motivaciones","type":"article-journal","volume":"2"},"uris":["http://www.mendeley.com/documents/?uuid=b7733e95-d617-4430-a7a3-fd9ee8dd4dfa"]},{"id":"ITEM-2","itemData":{"ISSN":"1134-3478","abstract":"los profundos cambios acaecidos en la configuración del contexto mediático en los últimos tiempos han generado cambios tanto en el medio televisivo como en las relaciones establecidas con él. es por ello que resulta necesario conocer cómo consumen la televisión los jóvenes actuales en aras de crear estrategias que ayuden a capacitarlos en la utilización de este medio. Con este fin, en esta investigación se han estudiado las pautas de consumo televisivo de 553 adolescentes (267 chicos y 286 chicas) de irlanda, españa y México, de edades comprendidas entre 14 y 19 años. Mediante la aplicación de dos cuestionarios (Ch-tv 0.2 y valtv 0.2) se han podido detectar cuatro pautas de consumo generalizables a todos los contextos estudiados. dos de estas pautas, diferencian el consumo entre hombres (Crítico-Cultural) y mujeres (social-Conversacional), siendo ellos los que realizan un consumo más cultural e informativo y ellas, más dirigido a entablar conversación con sus amistades. en lo que a las otras dos pautas se refiere, la percepción de un clima conflictivo (consumo Conflictivo-pasivo) o la de una mediación responsable (consumo Comprometido-positivo) son algunas de las variables que marcan las diferencias. además, se han detectado aquellos factores que presentan mayor poder discriminativo en la configuración de estas pautas, siendo la preferencia mostrada hacia los géneros televisivos el factor más discriminante entre los estudiados. sin embargo, la permanencia, el realismo percibido y el contexto cultural no han resultado ser determinantes.","author":[{"dropping-particle":"","family":"Ugalde Lujambio","given":"Leire","non-dropping-particle":"","parse-names":false,"suffix":""},{"dropping-particle":"","family":"Martínez","given":"Juan","non-dropping-particle":"","parse-names":false,"suffix":""},{"dropping-particle":"","family":"Medrano Samaniego","given":"María","non-dropping-particle":"","parse-names":false,"suffix":""}],"container-title":"Comunicar: Revista científica iberoamericana de comunicación y educación","id":"ITEM-2","issue":"50","issued":{"date-parts":[["2017"]]},"page":"67-76","title":"Pautas de consumo televisivo en adolescentes de la era digital: un estudio transcultural","type":"article-journal"},"uris":["http://www.mendeley.com/documents/?uuid=93e244c8-33eb-409e-97fe-35919487a116"]},{"id":"ITEM-3","itemData":{"author":[{"dropping-particle":"","family":"Marta-Lazo","given":"C.","non-dropping-particle":"","parse-names":false,"suffix":""},{"dropping-particle":"","family":"Gabelas-Barroso","given":"J. A.","non-dropping-particle":"","parse-names":false,"suffix":""}],"container-title":"Revista de Comunicación de la SEECI","id":"ITEM-3","issue":"31","issued":{"date-parts":[["2013"]]},"page":"14-33","title":"Fiction Consumption Habits Among Communication","type":"article-journal"},"uris":["http://www.mendeley.com/documents/?uuid=ef859315-b8b4-46a0-8809-0cf86daf9786"]}],"mendeley":{"formattedCitation":"(Marta-Lazo &amp; Gabelas-Barroso, 2013; Pavón-Arrizabalaga et al., 2016; Ugalde Lujambio et al., 2017)","plainTextFormattedCitation":"(Marta-Lazo &amp; Gabelas-Barroso, 2013; Pavón-Arrizabalaga et al., 2016; Ugalde Lujambio et al., 2017)","previouslyFormattedCitation":"(Marta-Lazo &amp; Gabelas-Barroso, 2013; Pavón-Arrizabalaga et al., 2016; Ugalde Lujambio et al., 2017)"},"properties":{"noteIndex":0},"schema":"https://github.com/citation-style-language/schema/raw/master/csl-citation.json"}</w:instrText>
      </w:r>
      <w:r w:rsidRPr="00F21E9C">
        <w:rPr>
          <w:rFonts w:ascii="Tahoma" w:eastAsia="Times" w:hAnsi="Tahoma" w:cs="Tahoma"/>
          <w:sz w:val="24"/>
          <w:szCs w:val="24"/>
        </w:rPr>
        <w:fldChar w:fldCharType="separate"/>
      </w:r>
      <w:r w:rsidRPr="00C9773A">
        <w:rPr>
          <w:rFonts w:ascii="Tahoma" w:eastAsia="Times" w:hAnsi="Tahoma" w:cs="Tahoma"/>
          <w:noProof/>
          <w:sz w:val="24"/>
          <w:szCs w:val="24"/>
        </w:rPr>
        <w:t xml:space="preserve">(Marta-Lazo &amp; Gabelas-Barroso, 2013; Pavón-Arrizabalaga </w:t>
      </w:r>
      <w:r w:rsidRPr="00672817">
        <w:rPr>
          <w:rFonts w:ascii="Tahoma" w:eastAsia="Times" w:hAnsi="Tahoma" w:cs="Tahoma"/>
          <w:i/>
          <w:noProof/>
          <w:sz w:val="24"/>
          <w:szCs w:val="24"/>
        </w:rPr>
        <w:t>et al.</w:t>
      </w:r>
      <w:r w:rsidRPr="00C9773A">
        <w:rPr>
          <w:rFonts w:ascii="Tahoma" w:eastAsia="Times" w:hAnsi="Tahoma" w:cs="Tahoma"/>
          <w:noProof/>
          <w:sz w:val="24"/>
          <w:szCs w:val="24"/>
        </w:rPr>
        <w:t xml:space="preserve">, 2016; Ugalde Lujambio </w:t>
      </w:r>
      <w:r w:rsidRPr="00672817">
        <w:rPr>
          <w:rFonts w:ascii="Tahoma" w:eastAsia="Times" w:hAnsi="Tahoma" w:cs="Tahoma"/>
          <w:i/>
          <w:noProof/>
          <w:sz w:val="24"/>
          <w:szCs w:val="24"/>
        </w:rPr>
        <w:t>et al.</w:t>
      </w:r>
      <w:r w:rsidRPr="00C9773A">
        <w:rPr>
          <w:rFonts w:ascii="Tahoma" w:eastAsia="Times" w:hAnsi="Tahoma" w:cs="Tahoma"/>
          <w:noProof/>
          <w:sz w:val="24"/>
          <w:szCs w:val="24"/>
        </w:rPr>
        <w:t>,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En este ámbito la combinación televisión e Internet ha provocado un cambio transcendental en la forma en la que los </w:t>
      </w:r>
      <w:r w:rsidRPr="00F21E9C">
        <w:rPr>
          <w:rFonts w:ascii="Tahoma" w:eastAsia="Times" w:hAnsi="Tahoma" w:cs="Tahoma"/>
          <w:i/>
          <w:iCs/>
          <w:sz w:val="24"/>
          <w:szCs w:val="24"/>
        </w:rPr>
        <w:t>fans</w:t>
      </w:r>
      <w:r w:rsidRPr="00F21E9C">
        <w:rPr>
          <w:rFonts w:ascii="Tahoma" w:eastAsia="Times" w:hAnsi="Tahoma" w:cs="Tahoma"/>
          <w:sz w:val="24"/>
          <w:szCs w:val="24"/>
        </w:rPr>
        <w:t xml:space="preserve"> consumen contenidos y se relacionan con estos y entre ellos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{"citationItems":[{"id":"ITEM-1","itemData":{"ISSN":"2174-1859","abstract":"El presente trabajo pretende mostrar la importancia que tiene el papel del prosumidor a la hora de desarrollar la narrativa transmedia de las series de ficción en televisión. Las contribuciones de este nuevo tipo de consumidor no pueden ser menospreciadas, se les debe otorgar la importancia que merecen, pues sus creaciones no hacen sino aumentar la visibilidad y el valor de marca de la historia en cuestión. Para la realización de esta investigación se ha llevado a cabo un estudio del caso de la serie de ficción El Ministerio del Tiempo. El fenómeno fan originado a raíz de esta serie ha favorecido la creación de una enorme cantidad de contenido transmedia. Este artículo muestra cómo las aportaciones de los prosumidores son tan importantes como el propio desarrollo oficial de la serie. Hacen que ésta crezca y sea más completa, generando una fidelidad por parte de los espectadores mucho mayor que las series que sólo se preocupan por su desarrollo monomediático. Son un grupo especial de espectadores a los que hay que cuidar y escuchar, pues son los mayores fans de estos productos audiovisuales. Y, además, pueden encumbrar o destruir un proyecto de estas características.","author":[{"dropping-particle":"","family":"Miranda Galbe","given":"Jorge","non-dropping-particle":"","parse-names":false,"suffix":""},{"dropping-particle":"","family":"Figuero Espadas","given":"Javier","non-dropping-particle":"","parse-names":false,"suffix":""}],"container-title":"index.comunicación","id":"ITEM-1","issue":"2","issued":{"date-parts":[["2016"]]},"page":"115-134","title":"El rol del prosumidor en la expansión narrativa transmedia de las historias de ficción en televisión: el caso de ‘El Ministerio del Tiempo’","type":"article-journal","volume":"6"},"uris":["http://www.mendeley.com/documents/?uuid=714843e6-0191-4e28-aa1d-1fda2e66a400"]},{"id":"ITEM-2","itemData":{"author":[{"dropping-particle":"","family":"Scolari","given":"C. A.","non-dropping-particle":"","parse-names":false,"suffix":""}],"id":"ITEM-2","issued":{"date-parts":[["2013"]]},"publisher":"Deusto","publisher-place":"Barcelona","title":"Narrativas transmedia. Cuando todos los medios cuentan","type":"book"},"uris":["http://www.mendeley.com/documents/?uuid=ce9cf645-d63c-4a6c-a9b1-3484ce701f1e"]},{"id":"ITEM-3","itemData":{"DOI":"http://doi.org/10.35742/rcci.2018.23(1).15-27","author":[{"dropping-particle":"","family":"Miranda-Galbe","given":"J.","non-dropping-particle":"","parse-names":false,"suffix":""},{"dropping-particle":"","family":"Cabezuelo-Lorenzo","given":"F.","non-dropping-particle":"","parse-names":false,"suffix":""}],"container-title":"Revista de Ciencias de la Comunicación e Información","id":"ITEM-3","issue":"1","issued":{"date-parts":[["2018"]]},"page":"15-27","title":"La importancia de la documentación histórica en el relato transmedia: el caso de “El Ministerio del Tiempo”","type":"article-journal","volume":"23"},"uris":["http://www.mendeley.com/documents/?uuid=8cf6867a-eed9-4179-a646-7d6e3889a37a"]},{"id":"ITEM-4","itemData":{"author":[{"dropping-particle":"","family":"Rodríguez Pastene-Vicencio","given":"Fabiana","non-dropping-particle":"","parse-names":false,"suffix":""}],"container-title":"Perspectivas de la Comunicación","id":"ITEM-4","issue":"2","issued":{"date-parts":[["2017"]]},"page":"189-194","title":"Pasado presente. La construcción del tiempo en las narrativas transmediáticas. El caso de cuentosdeviejos.com","type":"article-journal","volume":"10"},"uris":["http://www.mendeley.com/documents/?uuid=3a718c79-8cfa-4b99-b173-ef92c66c57df"]}],"mendeley":{"formattedCitation":"(Miranda-Galbe &amp; Cabezuelo-Lorenzo, 2018; Miranda Galbe &amp; Figuero Espadas, 2016; Rodríguez Pastene-Vicencio, 2017; Scolari, 2013)","plainTextFormattedCitation":"(Miranda-Galbe &amp; Cabezuelo-Lorenzo, 2018; Miranda Galbe &amp; Figuero Espadas, 2016; Rodríguez Pastene-Vicencio, 2017; Scolari, 2013)","previouslyFormattedCitation":"(Miranda-Galbe &amp; Cabezuelo-Lorenzo, 2018; Miranda Galbe &amp; Figuero Espadas, 2016; Rodríguez Pastene-Vicencio, 2017; Scolari, 2013)"},"properties":{"noteIndex":0},"schema":"https://github.com/citation-style-language/schema/raw/master/csl-citation.json"}</w:instrText>
      </w:r>
      <w:r w:rsidRPr="00F21E9C">
        <w:rPr>
          <w:rFonts w:ascii="Tahoma" w:eastAsia="Times" w:hAnsi="Tahoma" w:cs="Tahoma"/>
          <w:sz w:val="24"/>
          <w:szCs w:val="24"/>
        </w:rPr>
        <w:fldChar w:fldCharType="separate"/>
      </w:r>
      <w:r w:rsidRPr="00EB29C1">
        <w:rPr>
          <w:rFonts w:ascii="Tahoma" w:eastAsia="Times" w:hAnsi="Tahoma" w:cs="Tahoma"/>
          <w:noProof/>
          <w:sz w:val="24"/>
          <w:szCs w:val="24"/>
        </w:rPr>
        <w:t>(Miranda-Galbe &amp; Cabezuelo-Lorenzo, 2018; Miranda Galbe &amp; Figuero Espadas, 2016; Rodríguez Pastene-Vicencio, 2017; Scolari, 2013)</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A este respecto, y centrándose en los adolescentes, se observa un consumo de contenidos audiovisuales individualizado a través de  múltiples canales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{"citationItems":[{"id":"ITEM-1","itemData":{"DOI":"10.4185/RLCS-2017-1187","abstract":"ES] Introducción: Los teléfonos inteligentes son los máximos exponentes de la era de la movilidad y de la conectividad tecnológica. En este artículo investigamos los hábitos de uso y consumo de audiovisuales en éstos dentro del target universitario. Metodología: De corte cuantitativo, se ha diseñado un cuestionario específico que fue distribuido en entrevistas cara a cara apoyándonos en un T-CAPI (Tablet and Computer Assisted Personal Interview) que constaba de 36 preguntas-ítems. Resultados y discusión: Se especifican las principales diferencias en el consumo de vídeo en las redes 3G y 4G en la muestra analizada, consolidándose la tendencia hacia consumos más ávidos en redes más potentes y rápidas así como un crecimiento en el uso del Smartphone en las actividades en second screen.","author":[{"dropping-particle":"","family":"Ramos Méndez","given":"D.","non-dropping-particle":"","parse-names":false,"suffix":""},{"dropping-particle":"","family":"Ortega-Mohedano","given":"F.","non-dropping-particle":"","parse-names":false,"suffix":""}],"container-title":"Revista Latina de Comunicacion Social","id":"ITEM-1","issued":{"date-parts":[["2017"]]},"page":"704-718","title":"La revolución en los hábitos de uso y consumo de vídeo en teléfonos inteligentes entre usuarios Millenials, la encrucijada revelada","type":"article-journal","volume":"72"},"uris":["http://www.mendeley.com/documents/?uuid=f4a91d14-dc40-407f-a9d5-ef278f64cfa0"]},{"id":"ITEM-2","itemData":{"DOI":"http://doi.org/10.5281/zenodo.4292728","author":[{"dropping-particle":"","family":"Cabezuelo-Lorenzo","given":"Francisco","non-dropping-particle":"","parse-names":false,"suffix":""},{"dropping-particle":"","family":"Barrientos-Báez","given":"Almudena","non-dropping-particle":"","parse-names":false,"suffix":""},{"dropping-particle":"","family":"Caldevilla-Domínguez","given":"David","non-dropping-particle":"","parse-names":false,"suffix":""}],"container-title":"Utopía y Praxis Latinoamericana. Revista Internacional de Filosofía y Teoría Social","id":"ITEM-2","issue":"EXTRA 13","issued":{"date-parts":[["2020"]]},"page":"210-224","title":"Ficción audiovisual contemporánea como herramienta educativa en la actual sociedad multipantallas","type":"article-journal","volume":"25"},"uris":["http://www.mendeley.com/documents/?uuid=8907db5c-27d7-41ac-b17e-e8412184f6ed"]}],"mendeley":{"formattedCitation":"(Francisco Cabezuelo-Lorenzo et al., 2020; Ramos Méndez &amp; Ortega-Mohedano, 2017)","plainTextFormattedCitation":"(Francisco Cabezuelo-Lorenzo et al., 2020; Ramos Méndez &amp; Ortega-Mohedano, 2017)","previouslyFormattedCitation":"(Cabezuelo-Lorenzo et al., 2020; Ramos Méndez &amp; Ortega-Mohedano, 2017)"},"properties":{"noteIndex":0},"schema":"https://github.com/citation-style-language/schema/raw/master/csl-citation.json"}</w:instrText>
      </w:r>
      <w:r w:rsidRPr="00F21E9C">
        <w:rPr>
          <w:rFonts w:ascii="Tahoma" w:eastAsia="Times" w:hAnsi="Tahoma" w:cs="Tahoma"/>
          <w:sz w:val="24"/>
          <w:szCs w:val="24"/>
        </w:rPr>
        <w:fldChar w:fldCharType="separate"/>
      </w:r>
      <w:r w:rsidRPr="004D77C9">
        <w:rPr>
          <w:rFonts w:ascii="Tahoma" w:eastAsia="Times" w:hAnsi="Tahoma" w:cs="Tahoma"/>
          <w:noProof/>
          <w:sz w:val="24"/>
          <w:szCs w:val="24"/>
        </w:rPr>
        <w:t xml:space="preserve">(Francisco Cabezuelo-Lorenzo </w:t>
      </w:r>
      <w:r w:rsidRPr="00672817">
        <w:rPr>
          <w:rFonts w:ascii="Tahoma" w:eastAsia="Times" w:hAnsi="Tahoma" w:cs="Tahoma"/>
          <w:i/>
          <w:noProof/>
          <w:sz w:val="24"/>
          <w:szCs w:val="24"/>
        </w:rPr>
        <w:t>et al.</w:t>
      </w:r>
      <w:r w:rsidRPr="004D77C9">
        <w:rPr>
          <w:rFonts w:ascii="Tahoma" w:eastAsia="Times" w:hAnsi="Tahoma" w:cs="Tahoma"/>
          <w:noProof/>
          <w:sz w:val="24"/>
          <w:szCs w:val="24"/>
        </w:rPr>
        <w:t>, 2020; Ramos Méndez &amp; Ortega-Mohedano,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con roles de género fluidos (Padilla Castillo &amp; Sosa Sánchez, 2018). Entre estos destacan las redes sociales para una comunicación constante entre </w:t>
      </w:r>
      <w:r w:rsidRPr="00F21E9C">
        <w:rPr>
          <w:rFonts w:ascii="Tahoma" w:eastAsia="Times" w:hAnsi="Tahoma" w:cs="Tahoma"/>
          <w:i/>
          <w:iCs/>
          <w:sz w:val="24"/>
          <w:szCs w:val="24"/>
        </w:rPr>
        <w:t xml:space="preserve">fans </w:t>
      </w:r>
      <w:r w:rsidRPr="00F21E9C">
        <w:rPr>
          <w:rFonts w:ascii="Tahoma" w:eastAsia="Times" w:hAnsi="Tahoma" w:cs="Tahoma"/>
          <w:i/>
          <w:iCs/>
          <w:sz w:val="24"/>
          <w:szCs w:val="24"/>
        </w:rPr>
        <w:fldChar w:fldCharType="begin" w:fldLock="1"/>
      </w:r>
      <w:r>
        <w:rPr>
          <w:rFonts w:ascii="Tahoma" w:eastAsia="Times" w:hAnsi="Tahoma" w:cs="Tahoma"/>
          <w:i/>
          <w:iCs/>
          <w:sz w:val="24"/>
          <w:szCs w:val="24"/>
        </w:rPr>
        <w:instrText>ADDIN CSL_CITATION {"citationItems":[{"id":"ITEM-1","itemData":{"DOI":"10.5209/rev_meso.2013.n12.45265","ISSN":"1989-0494","abstract":"El uso de las herramientas para la ad- ministración de redes sociales se está generalizando en algunas de las rutinas laborales de los trabajadores en los me- dios de comunicación, particularmente en los de carácter noticioso. Con base en una encuesta en línea y un conjunto de entre- vistas, se presenta un panorama general del uso de Internet y de las redes sociales en una muestra no probabilística de reporteros, editores y dueños de medios de la región sureste de Coahuila; así como el tratamiento que un subgrupo de ellos le da a Twitter como fuente de informa- ción. Los principales resultados muestran que Internet es el medio al que dedican un mayor tiempo de consumo, y que Twitter es empleado como una herra- mienta que permite a los trabajadores de los medios, seguir asuntos de potencial interés periodístico, una vez que pasan por los procedimientos habituales de verificación de fuentes.","author":[{"dropping-particle":"","family":"Gabriel","given":"Pérez Salazar","non-dropping-particle":"","parse-names":false,"suffix":""},{"dropping-particle":"","family":"Carabaza González","given":"Julieta I.","non-dropping-particle":"","parse-names":false,"suffix":""},{"dropping-particle":"","family":"Romo Gutiérrez","given":"Daniel O.","non-dropping-particle":"","parse-names":false,"suffix":""}],"container-title":"Mediaciones Sociales","id":"ITEM-1","issue":"12","issued":{"date-parts":[["2015"]]},"page":"108-128","title":"El uso de Twitter en las salas de redacción: redes sociales y newsmaking en la región sureste de Coahuila, México","type":"article-journal","volume":"0"},"uris":["http://www.mendeley.com/documents/?uuid=28c0efca-6cfc-4b3a-962a-ddde7925665d"]}],"mendeley":{"formattedCitation":"(Gabriel et al., 2015)","plainTextFormattedCitation":"(Gabriel et al., 2015)","previouslyFormattedCitation":"(Gabriel et al., 2015)"},"properties":{"noteIndex":0},"schema":"https://github.com/citation-style-language/schema/raw/master/csl-citation.json"}</w:instrText>
      </w:r>
      <w:r w:rsidRPr="00F21E9C">
        <w:rPr>
          <w:rFonts w:ascii="Tahoma" w:eastAsia="Times" w:hAnsi="Tahoma" w:cs="Tahoma"/>
          <w:i/>
          <w:iCs/>
          <w:sz w:val="24"/>
          <w:szCs w:val="24"/>
        </w:rPr>
        <w:fldChar w:fldCharType="separate"/>
      </w:r>
      <w:r w:rsidRPr="00D509B7">
        <w:rPr>
          <w:rFonts w:ascii="Tahoma" w:eastAsia="Times" w:hAnsi="Tahoma" w:cs="Tahoma"/>
          <w:iCs/>
          <w:noProof/>
          <w:sz w:val="24"/>
          <w:szCs w:val="24"/>
        </w:rPr>
        <w:t xml:space="preserve">(Gabriel </w:t>
      </w:r>
      <w:r w:rsidRPr="00672817">
        <w:rPr>
          <w:rFonts w:ascii="Tahoma" w:eastAsia="Times" w:hAnsi="Tahoma" w:cs="Tahoma"/>
          <w:i/>
          <w:iCs/>
          <w:noProof/>
          <w:sz w:val="24"/>
          <w:szCs w:val="24"/>
        </w:rPr>
        <w:t>et al.</w:t>
      </w:r>
      <w:r w:rsidRPr="00D509B7">
        <w:rPr>
          <w:rFonts w:ascii="Tahoma" w:eastAsia="Times" w:hAnsi="Tahoma" w:cs="Tahoma"/>
          <w:iCs/>
          <w:noProof/>
          <w:sz w:val="24"/>
          <w:szCs w:val="24"/>
        </w:rPr>
        <w:t>, 2015)</w:t>
      </w:r>
      <w:r w:rsidRPr="00F21E9C">
        <w:rPr>
          <w:rFonts w:ascii="Tahoma" w:eastAsia="Times" w:hAnsi="Tahoma" w:cs="Tahoma"/>
          <w:i/>
          <w:iCs/>
          <w:sz w:val="24"/>
          <w:szCs w:val="24"/>
        </w:rPr>
        <w:fldChar w:fldCharType="end"/>
      </w:r>
      <w:r>
        <w:rPr>
          <w:rFonts w:ascii="Tahoma" w:eastAsia="Times" w:hAnsi="Tahoma" w:cs="Tahoma"/>
          <w:i/>
          <w:iCs/>
          <w:sz w:val="24"/>
          <w:szCs w:val="24"/>
        </w:rPr>
        <w:t xml:space="preserve"> </w:t>
      </w:r>
      <w:r w:rsidRPr="001B1B47">
        <w:rPr>
          <w:rFonts w:ascii="Tahoma" w:eastAsia="Times" w:hAnsi="Tahoma" w:cs="Tahoma"/>
          <w:sz w:val="24"/>
          <w:szCs w:val="24"/>
        </w:rPr>
        <w:t>en la que los</w:t>
      </w:r>
      <w:r>
        <w:rPr>
          <w:rFonts w:ascii="Tahoma" w:eastAsia="Times" w:hAnsi="Tahoma" w:cs="Tahoma"/>
          <w:i/>
          <w:iCs/>
          <w:sz w:val="24"/>
          <w:szCs w:val="24"/>
        </w:rPr>
        <w:t xml:space="preserve"> </w:t>
      </w:r>
      <w:r w:rsidRPr="00F21E9C">
        <w:rPr>
          <w:rFonts w:ascii="Tahoma" w:eastAsia="Times" w:hAnsi="Tahoma" w:cs="Tahoma"/>
          <w:sz w:val="24"/>
          <w:szCs w:val="24"/>
        </w:rPr>
        <w:t>contenidos de ficción gozan de un papel relevante</w:t>
      </w:r>
      <w:r w:rsidRPr="00F21E9C">
        <w:rPr>
          <w:rFonts w:ascii="Tahoma" w:eastAsia="Times" w:hAnsi="Tahoma" w:cs="Tahoma"/>
          <w:i/>
          <w:iCs/>
          <w:sz w:val="24"/>
          <w:szCs w:val="24"/>
        </w:rPr>
        <w:t xml:space="preserve"> </w:t>
      </w:r>
      <w:r w:rsidRPr="00F21E9C">
        <w:rPr>
          <w:rFonts w:ascii="Tahoma" w:eastAsia="Times" w:hAnsi="Tahoma" w:cs="Tahoma"/>
          <w:i/>
          <w:iCs/>
          <w:sz w:val="24"/>
          <w:szCs w:val="24"/>
        </w:rPr>
        <w:fldChar w:fldCharType="begin" w:fldLock="1"/>
      </w:r>
      <w:r w:rsidRPr="00F21E9C">
        <w:rPr>
          <w:rFonts w:ascii="Tahoma" w:eastAsia="Times" w:hAnsi="Tahoma" w:cs="Tahoma"/>
          <w:i/>
          <w:iCs/>
          <w:sz w:val="24"/>
          <w:szCs w:val="24"/>
        </w:rPr>
        <w:instrText>ADDIN CSL_CITATION {"citationItems":[{"id":"ITEM-1","itemData":{"ISSN":"2444-0132","abstract":"This article aims to analyze the audiovisual consumption patterns of 12 to 16 year-old adolescents, with particular emphasis on the television fiction contents. In order to understand the role of television series in the era of audiovisual digitization, we have analyzed the preferences, motivations and practices of the adolescents. The study presents quantitative and qualitative data collected in 2011, two years after the digital switchover of television at the study area. This period is considered as the beginning of the digital era, and is characterized by new ways of audiovisual production, transmission and consumption, which have been considered. Questionnaires filled by 852 adolescents, as well as 26 interviews and 16 social network profiles, have been analyzed. The results showed that although consumption of fiction content is closely related to traditional television consumption practices, new expressions and experiences have arisen through the Internet. KEY WORDS television, television digitalization, audiovisual media, adolescents, TV series RESUMEN El presente artículo tiene como objetivo analizar los patrones de consumo audiovisual de los adolescentes de entre 12 y 16 años, haciendo especial hincapié en los contenidos de ficción televisiva. Con el fin de entender el rol de las series de televisión en la era de la digitalización audiovisual, se han analizado las preferencias audiovisuales de estos adolescentes y sus motivaciones, así como sus prácticas alrededor de estos contenidos. En esta investigación se exponen datos cuantitativos y cualitativos recogidos en 2011, años posteriores al apagón analógico de la televisión y que marcan el comienzo de una nueva era audiovisual con nuevas particularidades en la producción, emisión y consumo de contenidos audiovisuales. Se analizan los cuestionarios de 852 adolescentes, así como 26 entrevistas en profundidad y 16 perfiles de la red social Tuenti, con el fin de radiografiar los usos que los jóvenes realizan alrededor de las series de televisión. Los resultados demuestran que, aunque el consumo de contenidos de ficción está estrechamente relacionado con prácticas tradicionales de consumo televisivo, han surgido nuevas expresiones y experiencias a través de Internet. PALABRAS CLAVE televisión, digitalización televisiva, audiovisual, adolescencia, series de televsión Consumo de series de televisión de los adolescentes en la era de la digitalización audiovisual: prácticas y motivaciones","author":[{"dropping-particle":"","family":"Pavón-Arrizabalaga","given":"Amaia","non-dropping-particle":"","parse-names":false,"suffix":""},{"dropping-particle":"","family":"Zuberogoitia","given":"Aitor","non-dropping-particle":"","parse-names":false,"suffix":""},{"dropping-particle":"","family":"Astigarraga","given":"Idoia","non-dropping-particle":"","parse-names":false,"suffix":""},{"dropping-particle":"","family":"Unibertsitatea","given":"Mondragon","non-dropping-particle":"","parse-names":false,"suffix":""},{"dropping-particle":"","family":"Juaristi","given":"Patxi","non-dropping-particle":"","parse-names":false,"suffix":""}],"container-title":"Dígitos, Revista de Comunicación Digital","id":"ITEM-1","issue":"2","issued":{"date-parts":[["2016"]]},"note":"Teenagers ’ Consumption of TV Series in the Era of TV Digitalization : Uses and Gratifications","page":"35-52","title":"Consumo de series de televisión de los adolescentes en la era de la digitalización audiovisual : prácticas y motivaciones","type":"article-journal","volume":"2"},"uris":["http://www.mendeley.com/documents/?uuid=b7733e95-d617-4430-a7a3-fd9ee8dd4dfa"]},{"id":"ITEM-2","itemData":{"ISSN":"1134-3478","abstract":"los profundos cambios acaecidos en la configuración del contexto mediático en los últimos tiempos han generado cambios tanto en el medio televisivo como en las relaciones establecidas con él. es por ello que resulta necesario conocer cómo consumen la televisión los jóvenes actuales en aras de crear estrategias que ayuden a capacitarlos en la utilización de este medio. Con este fin, en esta investigación se han estudiado las pautas de consumo televisivo de 553 adolescentes (267 chicos y 286 chicas) de irlanda, españa y México, de edades comprendidas entre 14 y 19 años. Mediante la aplicación de dos cuestionarios (Ch-tv 0.2 y valtv 0.2) se han podido detectar cuatro pautas de consumo generalizables a todos los contextos estudiados. dos de estas pautas, diferencian el consumo entre hombres (Crítico-Cultural) y mujeres (social-Conversacional), siendo ellos los que realizan un consumo más cultural e informativo y ellas, más dirigido a entablar conversación con sus amistades. en lo que a las otras dos pautas se refiere, la percepción de un clima conflictivo (consumo Conflictivo-pasivo) o la de una mediación responsable (consumo Comprometido-positivo) son algunas de las variables que marcan las diferencias. además, se han detectado aquellos factores que presentan mayor poder discriminativo en la configuración de estas pautas, siendo la preferencia mostrada hacia los géneros televisivos el factor más discriminante entre los estudiados. sin embargo, la permanencia, el realismo percibido y el contexto cultural no han resultado ser determinantes.","author":[{"dropping-particle":"","family":"Ugalde Lujambio","given":"Leire","non-dropping-particle":"","parse-names":false,"suffix":""},{"dropping-particle":"","family":"Martínez","given":"Juan","non-dropping-particle":"","parse-names":false,"suffix":""},{"dropping-particle":"","family":"Medrano Samaniego","given":"María","non-dropping-particle":"","parse-names":false,"suffix":""}],"container-title":"Comunicar: Revista científica iberoamericana de comunicación y educación","id":"ITEM-2","issue":"50","issued":{"date-parts":[["2017"]]},"page":"67-76","title":"Pautas de consumo televisivo en adolescentes de la era digital: un estudio transcultural","type":"article-journal"},"uris":["http://www.mendeley.com/documents/?uuid=93e244c8-33eb-409e-97fe-35919487a116"]}],"mendeley":{"formattedCitation":"(Pavón-Arrizabalaga et al., 2016; Ugalde Lujambio et al., 2017)","plainTextFormattedCitation":"(Pavón-Arrizabalaga et al., 2016; Ugalde Lujambio et al., 2017)","previouslyFormattedCitation":"(Pavón-Arrizabalaga et al., 2016; Ugalde Lujambio et al., 2017)"},"properties":{"noteIndex":0},"schema":"https://github.com/citation-style-language/schema/raw/master/csl-citation.json"}</w:instrText>
      </w:r>
      <w:r w:rsidRPr="00F21E9C">
        <w:rPr>
          <w:rFonts w:ascii="Tahoma" w:eastAsia="Times" w:hAnsi="Tahoma" w:cs="Tahoma"/>
          <w:i/>
          <w:iCs/>
          <w:sz w:val="24"/>
          <w:szCs w:val="24"/>
        </w:rPr>
        <w:fldChar w:fldCharType="separate"/>
      </w:r>
      <w:r w:rsidRPr="00F21E9C">
        <w:rPr>
          <w:rFonts w:ascii="Tahoma" w:eastAsia="Times" w:hAnsi="Tahoma" w:cs="Tahoma"/>
          <w:iCs/>
          <w:noProof/>
          <w:sz w:val="24"/>
          <w:szCs w:val="24"/>
        </w:rPr>
        <w:t xml:space="preserve">(Pavón-Arrizabalaga </w:t>
      </w:r>
      <w:r w:rsidRPr="00672817">
        <w:rPr>
          <w:rFonts w:ascii="Tahoma" w:eastAsia="Times" w:hAnsi="Tahoma" w:cs="Tahoma"/>
          <w:i/>
          <w:noProof/>
          <w:sz w:val="24"/>
          <w:szCs w:val="24"/>
        </w:rPr>
        <w:t>et al.</w:t>
      </w:r>
      <w:r w:rsidRPr="00F21E9C">
        <w:rPr>
          <w:rFonts w:ascii="Tahoma" w:eastAsia="Times" w:hAnsi="Tahoma" w:cs="Tahoma"/>
          <w:iCs/>
          <w:noProof/>
          <w:sz w:val="24"/>
          <w:szCs w:val="24"/>
        </w:rPr>
        <w:t xml:space="preserve">, 2016; Ugalde Lujambio </w:t>
      </w:r>
      <w:r w:rsidRPr="00672817">
        <w:rPr>
          <w:rFonts w:ascii="Tahoma" w:eastAsia="Times" w:hAnsi="Tahoma" w:cs="Tahoma"/>
          <w:i/>
          <w:noProof/>
          <w:sz w:val="24"/>
          <w:szCs w:val="24"/>
        </w:rPr>
        <w:t>et al.</w:t>
      </w:r>
      <w:r w:rsidRPr="00F21E9C">
        <w:rPr>
          <w:rFonts w:ascii="Tahoma" w:eastAsia="Times" w:hAnsi="Tahoma" w:cs="Tahoma"/>
          <w:iCs/>
          <w:noProof/>
          <w:sz w:val="24"/>
          <w:szCs w:val="24"/>
        </w:rPr>
        <w:t>, 2017)</w:t>
      </w:r>
      <w:r w:rsidRPr="00F21E9C">
        <w:rPr>
          <w:rFonts w:ascii="Tahoma" w:eastAsia="Times" w:hAnsi="Tahoma" w:cs="Tahoma"/>
          <w:i/>
          <w:iCs/>
          <w:sz w:val="24"/>
          <w:szCs w:val="24"/>
        </w:rPr>
        <w:fldChar w:fldCharType="end"/>
      </w:r>
      <w:r w:rsidRPr="00F21E9C">
        <w:rPr>
          <w:rFonts w:ascii="Tahoma" w:eastAsia="Times" w:hAnsi="Tahoma" w:cs="Tahoma"/>
          <w:sz w:val="24"/>
          <w:szCs w:val="24"/>
        </w:rPr>
        <w:t>.</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El notable éxito del formato serie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Studies","id":"ITEM-1","issue":"2","issued":{"date-parts":[["2018"]]},"page":"127-146","publisher":"Routledge","title":"Connecting with audiences in new markets: Netflix´s Twitter strategy in Spain","type":"article-journal","volume":"15"},"uris":["http://www.mendeley.com/documents/?uuid=fc5dea6f-1186-46f4-b852-8cb84dbc140d"]},{"id":"ITEM-2","itemData":{"abstract":"Netflix is one of the favorite media companies of teenagers thanks to its flat subscription plan, in which customers pay a monthly fee for an unlimited number of movies, together with a vast number of films and valuable original productions. Even if a real 'teen cluster' does not exist for Netflix's algorithm, this article tries to outline a profile of the average teen viewer based on marketing and personal researches on what iGen thinks about Netflix and the way they use it. On the other hand, a part is dedicated to the way in which Netflix is in touch with young people and has found a key to reaching the widest audience of kids, teenagers and adults in producing more and more coming of age stories, teen movies and series with a universal vintage glamour. The idea is to explore the relationship between Netflix and teenagers as an essential part of the aesthetics of abstraction of the world's most popular streaming service. © 2018 Vita e Pensiero / Pubblicazioni dell'Università Cattolica del Sacro Cuore.","author":[{"dropping-particle":"","family":"Becattini","given":"E","non-dropping-particle":"","parse-names":false,"suffix":""}],"container-title":"Comunicazioni Sociali","id":"ITEM-2","issued":{"date-parts":[["2018","1","1"]]},"page":"207-217","title":"When we were young: Netflix and the teen audience","type":"article-journal","volume":"2018"},"uris":["http://www.mendeley.com/documents/?uuid=1a709bec-8f91-4802-b975-2957f6761e12"]},{"id":"ITEM-3","itemData":{"DOI":"10.3145/epi.2017.nov.13","ISBN":"0000000259835","ISSN":"1386-6710","abstract":"Fan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Información","id":"ITEM-3","issue":"6","issued":{"date-parts":[["2017"]]},"page":"1139","title":"Comunidades de fans y ficción televisiva. Estudio de caso: El ministerio del tiempo (TVE)","type":"article-journal","volume":"26"},"uris":["http://www.mendeley.com/documents/?uuid=4d95a773-0bf3-41f2-b03f-94fe0e38dab0"]},{"id":"ITEM-4","itemData":{"DOI":"http://doi.org/10.5281/zenodo.4292728","author":[{"dropping-particle":"","family":"Cabezuelo-Lorenzo","given":"Francisco","non-dropping-particle":"","parse-names":false,"suffix":""},{"dropping-particle":"","family":"Barrientos-Báez","given":"Almudena","non-dropping-particle":"","parse-names":false,"suffix":""},{"dropping-particle":"","family":"Caldevilla-Domínguez","given":"David","non-dropping-particle":"","parse-names":false,"suffix":""}],"container-title":"Utopía y Praxis Latinoamericana. Revista Internacional de Filosofía y Teoría Social","id":"ITEM-4","issue":"EXTRA 13","issued":{"date-parts":[["2020"]]},"page":"210-224","title":"Ficción audiovisual contemporánea como herramienta educativa en la actual sociedad multipantallas","type":"article-journal","volume":"25"},"uris":["http://www.mendeley.com/documents/?uuid=8907db5c-27d7-41ac-b17e-e8412184f6ed"]}],"mendeley":{"formattedCitation":"(Becattini, 2018; Francisco Cabezuelo-Lorenzo et al., 2020; Fernández-Gómez &amp; Martín-Quevedo, 2018a; Torregrosa-Carmona &amp; Rodríguez-Gómez, 2017)","plainTextFormattedCitation":"(Becattini, 2018; Francisco Cabezuelo-Lorenzo et al., 2020; Fernández-Gómez &amp; Martín-Quevedo, 2018a; Torregrosa-Carmona &amp; Rodríguez-Gómez, 2017)","previouslyFormattedCitation":"(Becattini, 2018; Cabezuelo-Lorenzo et al., 2020; Fernández-Gómez &amp; Martín-Quevedo, 2018a;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4D77C9">
        <w:rPr>
          <w:rFonts w:ascii="Tahoma" w:eastAsia="Times" w:hAnsi="Tahoma" w:cs="Tahoma"/>
          <w:noProof/>
          <w:sz w:val="24"/>
          <w:szCs w:val="24"/>
        </w:rPr>
        <w:t xml:space="preserve">(Becattini, 2018; Francisco Cabezuelo-Lorenzo </w:t>
      </w:r>
      <w:r w:rsidRPr="00672817">
        <w:rPr>
          <w:rFonts w:ascii="Tahoma" w:eastAsia="Times" w:hAnsi="Tahoma" w:cs="Tahoma"/>
          <w:i/>
          <w:noProof/>
          <w:sz w:val="24"/>
          <w:szCs w:val="24"/>
        </w:rPr>
        <w:t>et al.</w:t>
      </w:r>
      <w:r w:rsidRPr="004D77C9">
        <w:rPr>
          <w:rFonts w:ascii="Tahoma" w:eastAsia="Times" w:hAnsi="Tahoma" w:cs="Tahoma"/>
          <w:noProof/>
          <w:sz w:val="24"/>
          <w:szCs w:val="24"/>
        </w:rPr>
        <w:t>, 2020; Fernández-Gómez &amp; Martín-Quevedo, 2018a; Torregrosa-Carmona &amp; Rodríguez-Gómez,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no ha pasado inadvertido entre las cadenas de televisión </w:t>
      </w:r>
      <w:r w:rsidRPr="00F21E9C">
        <w:rPr>
          <w:rFonts w:ascii="Tahoma" w:eastAsia="Times" w:hAnsi="Tahoma" w:cs="Tahoma"/>
          <w:sz w:val="24"/>
          <w:szCs w:val="24"/>
        </w:rPr>
        <w:lastRenderedPageBreak/>
        <w:t xml:space="preserve">(Cerdán Martínez, 2018) que han puesto en marcha plataformas de distribución digital de contenidos audiovisuales para dar respuesta a este nuevo contexto y consiguiente demanda (García Leiva, 2019). Entre estas cabe destacar a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por tratarse de un proyecto pionero que ha sabido atender a la perfección las nuevas expectativas de la audiencia convirtiéndose en el canal de pago de mayor crecimiento en el mercado español y en uno de los principales competidores de la televisión tradicional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Información","id":"ITEM-1","issue":"6","issued":{"date-parts":[["2018"]]},"page":"1292","title":"La estrategia de engagement de Netflix España en Twitter","type":"article-journal","volume":"27"},"uris":["http://www.mendeley.com/documents/?uuid=8dcc95d0-fef3-455b-ba0c-5a9c17ea0c53"]},{"id":"ITEM-2","itemData":{"DOI":"10.6035/2174-0992.2019.18.11","abstract":"Brands have been able to adapt to each specific reality throughout their historical evolution. Its identity, symbolic and intangible, has taken prominence in the face of products and their purely functional benefits. The arrival of the XXIst century carries a series of very profound disruptive changes: technological democratization, hyperconnected global reality, liquid society, microsegmentation, etc. This fact becomes a clear paradigm shift that empowers both users and brands, placing them in a peer relationship where the digital environment conditions the main communication relationships. Brands advance in the professionalization of their strategic and integral management process, offering relevant content that helps them create unique experiences through a powerful engagement with the user. Netflix is ​​one of the brands that has gained the most global notoriety in recent years as a result of its strategic policy, business volume, communication policy and content offer. This question validates the pertinence of this research focused on analyzing, through a prior theoretical development of the discipline and its subsequent adaptation to a case study, the main elements that shape the policy of strategic brand management carried out for this platform of entertainment in streaming. Considering the nature of the study and, once analyzed the main results extracted, we observe how the contents play an absolutely essential role in the overall and strategic management policy of the Netflix brand. The protagonism of the contents in the construction of the brand is transversal and goes from the very concept of business to the implementation of the strategy through its main advertising and promotional communication actions.","author":[{"dropping-particle":"","family":"Mayorga Escalada","given":"Santiago","non-dropping-particle":"","parse-names":false,"suffix":""}],"container-title":"adComunica. Revista Científica de Estrategias, Tendencias e Innovación en Comunicación","id":"ITEM-2","issue":"18","issued":{"date-parts":[["2019"]]},"page":"219-244","title":"Netflix, estrategia y gestión de marca en torno a la relevancia de los contenidos","type":"article-journal"},"uris":["http://www.mendeley.com/documents/?uuid=f817ce57-2809-41c3-83e5-4e0f1f60f89c"]},{"id":"ITEM-3","itemData":{"author":[{"dropping-particle":"","family":"Martínez-Sala","given":"Alba-María","non-dropping-particle":"","parse-names":false,"suffix":""},{"dropping-particle":"","family":"Prado-Jiménez","given":"Carlos-Eduardo","non-dropping-particle":"","parse-names":false,"suffix":""}],"container-title":"Las nuevas narrativas en el entorno social","editor":[{"dropping-particle":"","family":"Rodríguez Breijo","given":"Vanessa","non-dropping-particle":"","parse-names":false,"suffix":""},{"dropping-particle":"","family":"Trenta","given":"Milena","non-dropping-particle":"","parse-names":false,"suffix":""},{"dropping-particle":"","family":"Toledano Buendía","given":"Samuel","non-dropping-particle":"","parse-names":false,"suffix":""},{"dropping-particle":"","family":"Hernández","given":"Ciro","non-dropping-particle":"","parse-names":false,"suffix":""},{"dropping-particle":"","family":"Ardèvol Abreu","given":"Alberto","non-dropping-particle":"","parse-names":false,"suffix":""},{"dropping-particle":"","family":"Álvarez Nobell","given":"Alejandro","non-dropping-particle":"","parse-names":false,"suffix":""},{"dropping-particle":"","family":"Morales","given":"Lucas","non-dropping-particle":"","parse-names":false,"suffix":""},{"dropping-particle":"","family":"Hidalgo-Marí","given":"Tatiana","non-dropping-particle":"","parse-names":false,"suffix":""},{"dropping-particle":"","family":"Barrientos-Báez","given":"Almudena","non-dropping-particle":"","parse-names":false,"suffix":""}],"id":"ITEM-3","issued":{"date-parts":[["2019"]]},"page":"111-112","publisher":"Sociedad Latina de Comunicación Social","publisher-place":"La Laguna","title":"El papel del fandom televisivo en la estrategia de comunicación digital de Netflix. Análisis de la interacción y engagement online en Twitter","type":"paper-conference"},"uris":["http://www.mendeley.com/documents/?uuid=829fba55-4a56-48af-89e0-bc170ab60e4a"]}],"mendeley":{"formattedCitation":"(Fernández-Gómez &amp; Martín-Quevedo, 2018b; Martínez-Sala &amp; Prado-Jiménez, 2019; Mayorga Escalada, 2019)","plainTextFormattedCitation":"(Fernández-Gómez &amp; Martín-Quevedo, 2018b; Martínez-Sala &amp; Prado-Jiménez, 2019; Mayorga Escalada, 2019)","previouslyFormattedCitation":"(Fernández-Gómez &amp; Martín-Quevedo, 2018b; Martínez-Sala &amp; Prado-Jiménez, 2019; Mayorga Escalada, 2019)"},"properties":{"noteIndex":0},"schema":"https://github.com/citation-style-language/schema/raw/master/csl-citation.json"}</w:instrText>
      </w:r>
      <w:r w:rsidRPr="00F21E9C">
        <w:rPr>
          <w:rFonts w:ascii="Tahoma" w:eastAsia="Times" w:hAnsi="Tahoma" w:cs="Tahoma"/>
          <w:sz w:val="24"/>
          <w:szCs w:val="24"/>
        </w:rPr>
        <w:fldChar w:fldCharType="separate"/>
      </w:r>
      <w:r w:rsidRPr="001B1B47">
        <w:rPr>
          <w:rFonts w:ascii="Tahoma" w:eastAsia="Times" w:hAnsi="Tahoma" w:cs="Tahoma"/>
          <w:noProof/>
          <w:sz w:val="24"/>
          <w:szCs w:val="24"/>
        </w:rPr>
        <w:t>(Fernández-Gómez &amp; Martín-Quevedo, 2018b; Martínez-Sala &amp; Prado-Jiménez, 2019; Mayorga Escalada, 2019)</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es el “principal impulsor de un nuevo concepto, el entretenimiento del individuo, frente al tradicional entretenimiento del hogar”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{"citationItems":[{"id":"ITEM-1","itemData":{"author":[{"dropping-particle":"","family":"Neira","given":"Elena","non-dropping-particle":"","parse-names":false,"suffix":""}],"container-title":"Anuario AC/E de cultura digital 2018","id":"ITEM-1","issued":{"date-parts":[["2018"]]},"page":"68-79","title":"Impacto del modelo Netflix en el consumo cultural en pantallas: Big Data, susrcripción y long tail","type":"article-journal"},"locator":"69","uris":["http://www.mendeley.com/documents/?uuid=f614dabb-5eb0-4910-84f6-6fb3c19f5add"]}],"mendeley":{"formattedCitation":"(Neira, 2018, p. 69)","plainTextFormattedCitation":"(Neira, 2018, p. 69)","previouslyFormattedCitation":"(Neira, 2018, p. 69)"},"properties":{"noteIndex":0},"schema":"https://github.com/citation-style-language/schema/raw/master/csl-citation.json"}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(Neira, 2018, p. 69)</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El fenómeno observado se acrecienta entre los adolescentes, uno de los públicos principales de esta plataforma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{"citationItems":[{"id":"ITEM-1","itemData":{"abstract":"Netflix is one of the favorite media companies of teenagers thanks to its flat subscription plan, in which customers pay a monthly fee for an unlimited number of movies, together with a vast number of films and valuable original productions. Even if a real 'teen cluster' does not exist for Netflix's algorithm, this article tries to outline a profile of the average teen viewer based on marketing and personal researches on what iGen thinks about Netflix and the way they use it. On the other hand, a part is dedicated to the way in which Netflix is in touch with young people and has found a key to reaching the widest audience of kids, teenagers and adults in producing more and more coming of age stories, teen movies and series with a universal vintage glamour. The idea is to explore the relationship between Netflix and teenagers as an essential part of the aesthetics of abstraction of the world's most popular streaming service. © 2018 Vita e Pensiero / Pubblicazioni dell'Università Cattolica del Sacro Cuore.","author":[{"dropping-particle":"","family":"Becattini","given":"E","non-dropping-particle":"","parse-names":false,"suffix":""}],"container-title":"Comunicazioni Sociali","id":"ITEM-1","issued":{"date-parts":[["2018","1","1"]]},"page":"207-217","title":"When we were young: Netflix and the teen audience","type":"article-journal","volume":"2018"},"uris":["http://www.mendeley.com/documents/?uuid=1a709bec-8f91-4802-b975-2957f6761e12"]},{"id":"ITEM-2","itemData":{"DOI":"10.17851/1983-3652.13.1.20-44","ISSN":"19833652","abstract":"This study investigates the habits of adolescents concerning the consumption, production and creation on Instagram. We analyzed the types of interrelationships and interactions in this space, and, in turn, the personal identities negatively impacted by dangers, truths and lies. The research used a mixed methodology, by conducting a survey with 171 Spanish adolescents, and developing 17 interview groups with another 67. It was observed that adolescents consume multimedia content, however, they do not create more than the interactions in which they take part on Instagram. Their preferred interactions are with friends, influencers or YouTubers and family, with whom they communicate with stories, likes, direct messages and other comments. The existence of dangers was observed, such as harassment, exclusion and marginalization that lead to the subsequent blocking of certain profiles for their safety.","author":[{"dropping-particle":"","family":"Gil-Quintana","given":"Javier","non-dropping-particle":"","parse-names":false,"suffix":""},{"dropping-particle":"","family":"Amoros","given":"Manuel Fernández Galiano","non-dropping-particle":"","parse-names":false,"suffix":""}],"container-title":"Texto Livre","id":"ITEM-2","issue":"1","issued":{"date-parts":[["2020"]]},"page":"20-44","title":"Posts, interactions, truths and lies of Spanish adolescents on Instagram","type":"article-journal","volume":"13"},"uris":["http://www.mendeley.com/documents/?uuid=539ffe7b-2d6f-485e-aae3-c84c27889587","http://www.mendeley.com/documents/?uuid=4d6cc190-fdf2-47c1-8fcd-2d0e85340dcb"]}],"mendeley":{"formattedCitation":"(Becattini, 2018; Gil-Quintana &amp; Amoros, 2020)","plainTextFormattedCitation":"(Becattini, 2018; Gil-Quintana &amp; Amoros, 2020)","previouslyFormattedCitation":"(Becattini, 2018; Gil-Quintana &amp; Amoros, 2020)"},"properties":{"noteIndex":0},"schema":"https://github.com/citation-style-language/schema/raw/master/csl-citation.json"}</w:instrText>
      </w:r>
      <w:r w:rsidRPr="00F21E9C">
        <w:rPr>
          <w:rFonts w:ascii="Tahoma" w:eastAsia="Times" w:hAnsi="Tahoma" w:cs="Tahoma"/>
          <w:sz w:val="24"/>
          <w:szCs w:val="24"/>
        </w:rPr>
        <w:fldChar w:fldCharType="separate"/>
      </w:r>
      <w:r w:rsidRPr="001B1B47">
        <w:rPr>
          <w:rFonts w:ascii="Tahoma" w:eastAsia="Times" w:hAnsi="Tahoma" w:cs="Tahoma"/>
          <w:noProof/>
          <w:sz w:val="24"/>
          <w:szCs w:val="24"/>
        </w:rPr>
        <w:t>(Becattini, 2018; Gil-Quintana &amp; Amoros, 2020)</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Los adolescentes nacieron y están creciendo en un contexto mediático marcado por la evolución de Internet y la implementación consecutiva de los modelos web 1.0, 2.0, 3.0, etc. Se trata por lo tanto de un entorno muy diversificado y eminentemente digital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{"citationItems":[{"id":"ITEM-1","itemData":{"DOI":"10.17851/1983-3652.13.1.20-44","ISSN":"19833652","abstract":"This study investigates the habits of adolescents concerning the consumption, production and creation on Instagram. We analyzed the types of interrelationships and interactions in this space, and, in turn, the personal identities negatively impacted by dangers, truths and lies. The research used a mixed methodology, by conducting a survey with 171 Spanish adolescents, and developing 17 interview groups with another 67. It was observed that adolescents consume multimedia content, however, they do not create more than the interactions in which they take part on Instagram. Their preferred interactions are with friends, influencers or YouTubers and family, with whom they communicate with stories, likes, direct messages and other comments. The existence of dangers was observed, such as harassment, exclusion and marginalization that lead to the subsequent blocking of certain profiles for their safety.","author":[{"dropping-particle":"","family":"Gil-Quintana","given":"Javier","non-dropping-particle":"","parse-names":false,"suffix":""},{"dropping-particle":"","family":"Amoros","given":"Manuel Fernández Galiano","non-dropping-particle":"","parse-names":false,"suffix":""}],"container-title":"Texto Livre","id":"ITEM-1","issue":"1","issued":{"date-parts":[["2020"]]},"page":"20-44","title":"Posts, interactions, truths and lies of Spanish adolescents on Instagram","type":"article-journal","volume":"13"},"uris":["http://www.mendeley.com/documents/?uuid=539ffe7b-2d6f-485e-aae3-c84c27889587"]}],"mendeley":{"formattedCitation":"(Gil-Quintana &amp; Amoros, 2020)","plainTextFormattedCitation":"(Gil-Quintana &amp; Amoros, 2020)","previouslyFormattedCitation":"(Gil-Quintana &amp; Amoros, 2020)"},"properties":{"noteIndex":0},"schema":"https://github.com/citation-style-language/schema/raw/master/csl-citation.json"}</w:instrText>
      </w:r>
      <w:r w:rsidRPr="00F21E9C">
        <w:rPr>
          <w:rFonts w:ascii="Tahoma" w:eastAsia="Times" w:hAnsi="Tahoma" w:cs="Tahoma"/>
          <w:sz w:val="24"/>
          <w:szCs w:val="24"/>
        </w:rPr>
        <w:fldChar w:fldCharType="separate"/>
      </w:r>
      <w:r w:rsidRPr="002B5029">
        <w:rPr>
          <w:rFonts w:ascii="Tahoma" w:eastAsia="Times" w:hAnsi="Tahoma" w:cs="Tahoma"/>
          <w:noProof/>
          <w:sz w:val="24"/>
          <w:szCs w:val="24"/>
        </w:rPr>
        <w:t>(Gil-Quintana &amp; Amoros, 2020)</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Su estrecha relación con las TIC llevó a </w:t>
      </w:r>
      <w:proofErr w:type="spellStart"/>
      <w:r w:rsidRPr="00F21E9C">
        <w:rPr>
          <w:rFonts w:ascii="Tahoma" w:eastAsia="Times" w:hAnsi="Tahoma" w:cs="Tahoma"/>
          <w:sz w:val="24"/>
          <w:szCs w:val="24"/>
        </w:rPr>
        <w:t>Prensky</w:t>
      </w:r>
      <w:proofErr w:type="spellEnd"/>
      <w:r w:rsidRPr="00F21E9C">
        <w:rPr>
          <w:rFonts w:ascii="Tahoma" w:eastAsia="Times" w:hAnsi="Tahoma" w:cs="Tahoma"/>
          <w:sz w:val="24"/>
          <w:szCs w:val="24"/>
        </w:rPr>
        <w:t xml:space="preserve">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{"citationItems":[{"id":"ITEM-1","itemData":{"DOI":"10.1108/10748120110424816","ISSN":"1074-8121","abstract":"Part one of this paper highlights how students today think and process information fundamentally differently from their predecessors, as a result of being surrounded by new technology. The author compares these “digital natives” with the older generation who are learning and adopting new technology naming them “digital immigrants”.","author":[{"dropping-particle":"","family":"Prensky","given":"Marc","non-dropping-particle":"","parse-names":false,"suffix":""}],"container-title":"On the Horizon","id":"ITEM-1","issue":"5","issued":{"date-parts":[["2001","1","1"]]},"page":"1-6","publisher":"MCB UP Ltd","title":"Digital Natives, Digital Immigrants","type":"article-journal","volume":"9"},"suppress-author":1,"uris":["http://www.mendeley.com/documents/?uuid=d6a2ad4a-b87c-4008-915f-833e170851b9"]}],"mendeley":{"formattedCitation":"(2001)","plainTextFormattedCitation":"(2001)","previouslyFormattedCitation":"(2001)"},"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(2001)</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a rebautizarlos como nativos digitales para distinguirlos de los individuos provenientes de la etapa analógica. Por ello los adolescentes son excelentes ejemplos de uso de las TIC, incluidas las plataformas de distribución digital de contenidos audiovisuales o plataformas de televisión </w:t>
      </w:r>
      <w:r w:rsidRPr="00F21E9C">
        <w:rPr>
          <w:rFonts w:ascii="Tahoma" w:eastAsia="Times" w:hAnsi="Tahoma" w:cs="Tahoma"/>
          <w:i/>
          <w:iCs/>
          <w:sz w:val="24"/>
          <w:szCs w:val="24"/>
        </w:rPr>
        <w:t xml:space="preserve">in </w:t>
      </w:r>
      <w:proofErr w:type="spellStart"/>
      <w:r w:rsidRPr="00F21E9C">
        <w:rPr>
          <w:rFonts w:ascii="Tahoma" w:eastAsia="Times" w:hAnsi="Tahoma" w:cs="Tahoma"/>
          <w:i/>
          <w:iCs/>
          <w:sz w:val="24"/>
          <w:szCs w:val="24"/>
        </w:rPr>
        <w:t>streaming</w:t>
      </w:r>
      <w:proofErr w:type="spellEnd"/>
      <w:r w:rsidRPr="00F21E9C">
        <w:rPr>
          <w:rFonts w:ascii="Tahoma" w:eastAsia="Times" w:hAnsi="Tahoma" w:cs="Tahoma"/>
          <w:sz w:val="24"/>
          <w:szCs w:val="24"/>
        </w:rPr>
        <w:t xml:space="preserve">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{"citationItems":[{"id":"ITEM-1","itemData":{"ISSN":"2444-0132","abstract":"This article aims to analyze the audiovisual consumption patterns of 12 to 16 year-old adolescents, with particular emphasis on the television fiction contents. In order to understand the role of television series in the era of audiovisual digitization, we have analyzed the preferences, motivations and practices of the adolescents. The study presents quantitative and qualitative data collected in 2011, two years after the digital switchover of television at the study area. This period is considered as the beginning of the digital era, and is characterized by new ways of audiovisual production, transmission and consumption, which have been considered. Questionnaires filled by 852 adolescents, as well as 26 interviews and 16 social network profiles, have been analyzed. The results showed that although consumption of fiction content is closely related to traditional television consumption practices, new expressions and experiences have arisen through the Internet. KEY WORDS television, television digitalization, audiovisual media, adolescents, TV series RESUMEN El presente artículo tiene como objetivo analizar los patrones de consumo audiovisual de los adolescentes de entre 12 y 16 años, haciendo especial hincapié en los contenidos de ficción televisiva. Con el fin de entender el rol de las series de televisión en la era de la digitalización audiovisual, se han analizado las preferencias audiovisuales de estos adolescentes y sus motivaciones, así como sus prácticas alrededor de estos contenidos. En esta investigación se exponen datos cuantitativos y cualitativos recogidos en 2011, años posteriores al apagón analógico de la televisión y que marcan el comienzo de una nueva era audiovisual con nuevas particularidades en la producción, emisión y consumo de contenidos audiovisuales. Se analizan los cuestionarios de 852 adolescentes, así como 26 entrevistas en profundidad y 16 perfiles de la red social Tuenti, con el fin de radiografiar los usos que los jóvenes realizan alrededor de las series de televisión. Los resultados demuestran que, aunque el consumo de contenidos de ficción está estrechamente relacionado con prácticas tradicionales de consumo televisivo, han surgido nuevas expresiones y experiencias a través de Internet. PALABRAS CLAVE televisión, digitalización televisiva, audiovisual, adolescencia, series de televsión Consumo de series de televisión de los adolescentes en la era de la digitalización audiovisual: prácticas y motivaciones","author":[{"dropping-particle":"","family":"Pavón-Arrizabalaga","given":"Amaia","non-dropping-particle":"","parse-names":false,"suffix":""},{"dropping-particle":"","family":"Zuberogoitia","given":"Aitor","non-dropping-particle":"","parse-names":false,"suffix":""},{"dropping-particle":"","family":"Astigarraga","given":"Idoia","non-dropping-particle":"","parse-names":false,"suffix":""},{"dropping-particle":"","family":"Unibertsitatea","given":"Mondragon","non-dropping-particle":"","parse-names":false,"suffix":""},{"dropping-particle":"","family":"Juaristi","given":"Patxi","non-dropping-particle":"","parse-names":false,"suffix":""}],"container-title":"Dígitos, Revista de Comunicación Digital","id":"ITEM-1","issue":"2","issued":{"date-parts":[["2016"]]},"note":"Teenagers ’ Consumption of TV Series in the Era of TV Digitalization : Uses and Gratifications","page":"35-52","title":"Consumo de series de televisión de los adolescentes en la era de la digitalización audiovisual : prácticas y motivaciones","type":"article-journal","volume":"2"},"uris":["http://www.mendeley.com/documents/?uuid=b7733e95-d617-4430-a7a3-fd9ee8dd4dfa"]},{"id":"ITEM-2","itemData":{"DOI":"http://doi.org/10.5281/zenodo.4292728","author":[{"dropping-particle":"","family":"Cabezuelo-Lorenzo","given":"Francisco","non-dropping-particle":"","parse-names":false,"suffix":""},{"dropping-particle":"","family":"Barrientos-Báez","given":"Almudena","non-dropping-particle":"","parse-names":false,"suffix":""},{"dropping-particle":"","family":"Caldevilla-Domínguez","given":"David","non-dropping-particle":"","parse-names":false,"suffix":""}],"container-title":"Utopía y Praxis Latinoamericana. Revista Internacional de Filosofía y Teoría Social","id":"ITEM-2","issue":"EXTRA 13","issued":{"date-parts":[["2020"]]},"page":"210-224","title":"Ficción audiovisual contemporánea como herramienta educativa en la actual sociedad multipantallas","type":"article-journal","volume":"25"},"uris":["http://www.mendeley.com/documents/?uuid=8907db5c-27d7-41ac-b17e-e8412184f6ed"]},{"id":"ITEM-3","itemData":{"ISSN":"0719-4706","author":[{"dropping-particle":"","family":"Santamaria López","given":"Teresa Miriam","non-dropping-particle":"","parse-names":false,"suffix":""},{"dropping-particle":"","family":"Lagos Reinoso","given":"Gladys","non-dropping-particle":"","parse-names":false,"suffix":""},{"dropping-particle":"","family":"Armijos Acosta","given":"Rosa","non-dropping-particle":"","parse-names":false,"suffix":""},{"dropping-particle":"","family":"Bravo Villagómez","given":"Francisco","non-dropping-particle":"","parse-names":false,"suffix":""}],"container-title":"Revista Inclusiones","id":"ITEM-3","issued":{"date-parts":[["2019"]]},"page":"169-177","title":"Streaming en vivo enfocado en el aprendizaje personalizado de la asignatura Programación mediante la red social Facebook","type":"article-journal","volume":"6"},"uris":["http://www.mendeley.com/documents/?uuid=9195665a-386b-4209-97f8-e63c4369fe2e"]}],"mendeley":{"formattedCitation":"(Francisco Cabezuelo-Lorenzo et al., 2020; Pavón-Arrizabalaga et al., 2016; Santamaria López et al., 2019)","plainTextFormattedCitation":"(Francisco Cabezuelo-Lorenzo et al., 2020; Pavón-Arrizabalaga et al., 2016; Santamaria López et al., 2019)","previouslyFormattedCitation":"(Cabezuelo-Lorenzo et al., 2020; Pavón-Arrizabalaga et al., 2016; Santamaria López et al., 2019)"},"properties":{"noteIndex":0},"schema":"https://github.com/citation-style-language/schema/raw/master/csl-citation.json"}</w:instrText>
      </w:r>
      <w:r w:rsidRPr="00F21E9C">
        <w:rPr>
          <w:rFonts w:ascii="Tahoma" w:eastAsia="Times" w:hAnsi="Tahoma" w:cs="Tahoma"/>
          <w:sz w:val="24"/>
          <w:szCs w:val="24"/>
        </w:rPr>
        <w:fldChar w:fldCharType="separate"/>
      </w:r>
      <w:r w:rsidRPr="004D77C9">
        <w:rPr>
          <w:rFonts w:ascii="Tahoma" w:eastAsia="Times" w:hAnsi="Tahoma" w:cs="Tahoma"/>
          <w:noProof/>
          <w:sz w:val="24"/>
          <w:szCs w:val="24"/>
        </w:rPr>
        <w:t xml:space="preserve">(Francisco Cabezuelo-Lorenzo </w:t>
      </w:r>
      <w:r w:rsidRPr="00672817">
        <w:rPr>
          <w:rFonts w:ascii="Tahoma" w:eastAsia="Times" w:hAnsi="Tahoma" w:cs="Tahoma"/>
          <w:i/>
          <w:noProof/>
          <w:sz w:val="24"/>
          <w:szCs w:val="24"/>
        </w:rPr>
        <w:t>et al.</w:t>
      </w:r>
      <w:r w:rsidRPr="004D77C9">
        <w:rPr>
          <w:rFonts w:ascii="Tahoma" w:eastAsia="Times" w:hAnsi="Tahoma" w:cs="Tahoma"/>
          <w:noProof/>
          <w:sz w:val="24"/>
          <w:szCs w:val="24"/>
        </w:rPr>
        <w:t xml:space="preserve">, 2020; Pavón-Arrizabalaga </w:t>
      </w:r>
      <w:r w:rsidRPr="00672817">
        <w:rPr>
          <w:rFonts w:ascii="Tahoma" w:eastAsia="Times" w:hAnsi="Tahoma" w:cs="Tahoma"/>
          <w:i/>
          <w:noProof/>
          <w:sz w:val="24"/>
          <w:szCs w:val="24"/>
        </w:rPr>
        <w:t>et al.</w:t>
      </w:r>
      <w:r w:rsidRPr="004D77C9">
        <w:rPr>
          <w:rFonts w:ascii="Tahoma" w:eastAsia="Times" w:hAnsi="Tahoma" w:cs="Tahoma"/>
          <w:noProof/>
          <w:sz w:val="24"/>
          <w:szCs w:val="24"/>
        </w:rPr>
        <w:t xml:space="preserve">, 2016; Santamaria López </w:t>
      </w:r>
      <w:r w:rsidRPr="00672817">
        <w:rPr>
          <w:rFonts w:ascii="Tahoma" w:eastAsia="Times" w:hAnsi="Tahoma" w:cs="Tahoma"/>
          <w:i/>
          <w:noProof/>
          <w:sz w:val="24"/>
          <w:szCs w:val="24"/>
        </w:rPr>
        <w:t>et al.</w:t>
      </w:r>
      <w:r w:rsidRPr="004D77C9">
        <w:rPr>
          <w:rFonts w:ascii="Tahoma" w:eastAsia="Times" w:hAnsi="Tahoma" w:cs="Tahoma"/>
          <w:noProof/>
          <w:sz w:val="24"/>
          <w:szCs w:val="24"/>
        </w:rPr>
        <w:t>, 2019)</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A este respecto, este segmento de la audiencia se caracteriza por un consumo </w:t>
      </w:r>
      <w:proofErr w:type="spellStart"/>
      <w:r w:rsidRPr="00F21E9C">
        <w:rPr>
          <w:rFonts w:ascii="Tahoma" w:eastAsia="Times" w:hAnsi="Tahoma" w:cs="Tahoma"/>
          <w:sz w:val="24"/>
          <w:szCs w:val="24"/>
        </w:rPr>
        <w:t>multipantalla</w:t>
      </w:r>
      <w:proofErr w:type="spellEnd"/>
      <w:r w:rsidRPr="00F21E9C">
        <w:rPr>
          <w:rFonts w:ascii="Tahoma" w:eastAsia="Times" w:hAnsi="Tahoma" w:cs="Tahoma"/>
          <w:sz w:val="24"/>
          <w:szCs w:val="24"/>
        </w:rPr>
        <w:t xml:space="preserve"> y en </w:t>
      </w:r>
      <w:proofErr w:type="spellStart"/>
      <w:r w:rsidRPr="00F21E9C">
        <w:rPr>
          <w:rFonts w:ascii="Tahoma" w:eastAsia="Times" w:hAnsi="Tahoma" w:cs="Tahoma"/>
          <w:i/>
          <w:iCs/>
          <w:sz w:val="24"/>
          <w:szCs w:val="24"/>
        </w:rPr>
        <w:t>second</w:t>
      </w:r>
      <w:proofErr w:type="spellEnd"/>
      <w:r w:rsidRPr="00F21E9C">
        <w:rPr>
          <w:rFonts w:ascii="Tahoma" w:eastAsia="Times" w:hAnsi="Tahoma" w:cs="Tahoma"/>
          <w:i/>
          <w:iCs/>
          <w:sz w:val="24"/>
          <w:szCs w:val="24"/>
        </w:rPr>
        <w:t xml:space="preserve"> </w:t>
      </w:r>
      <w:proofErr w:type="spellStart"/>
      <w:r w:rsidRPr="00F21E9C">
        <w:rPr>
          <w:rFonts w:ascii="Tahoma" w:eastAsia="Times" w:hAnsi="Tahoma" w:cs="Tahoma"/>
          <w:i/>
          <w:iCs/>
          <w:sz w:val="24"/>
          <w:szCs w:val="24"/>
        </w:rPr>
        <w:t>screen</w:t>
      </w:r>
      <w:proofErr w:type="spellEnd"/>
      <w:r w:rsidRPr="00F21E9C">
        <w:rPr>
          <w:rFonts w:ascii="Tahoma" w:eastAsia="Times" w:hAnsi="Tahoma" w:cs="Tahoma"/>
          <w:sz w:val="24"/>
          <w:szCs w:val="24"/>
        </w:rPr>
        <w:t xml:space="preserve"> que implica una exposición simultánea a contenidos digitales a través de diferentes dispositivos: portátil, </w:t>
      </w:r>
      <w:proofErr w:type="spellStart"/>
      <w:r w:rsidRPr="00F21E9C">
        <w:rPr>
          <w:rFonts w:ascii="Tahoma" w:eastAsia="Times" w:hAnsi="Tahoma" w:cs="Tahoma"/>
          <w:i/>
          <w:iCs/>
          <w:sz w:val="24"/>
          <w:szCs w:val="24"/>
        </w:rPr>
        <w:t>smartphone</w:t>
      </w:r>
      <w:proofErr w:type="spellEnd"/>
      <w:r w:rsidRPr="00F21E9C">
        <w:rPr>
          <w:rFonts w:ascii="Tahoma" w:eastAsia="Times" w:hAnsi="Tahoma" w:cs="Tahoma"/>
          <w:i/>
          <w:iCs/>
          <w:sz w:val="24"/>
          <w:szCs w:val="24"/>
        </w:rPr>
        <w:t>,</w:t>
      </w:r>
      <w:r w:rsidRPr="00F21E9C">
        <w:rPr>
          <w:rFonts w:ascii="Tahoma" w:eastAsia="Times" w:hAnsi="Tahoma" w:cs="Tahoma"/>
          <w:sz w:val="24"/>
          <w:szCs w:val="24"/>
        </w:rPr>
        <w:t xml:space="preserve"> etc.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{"citationItems":[{"id":"ITEM-1","itemData":{"DOI":"10.4185/RLCS-2017-1187","abstract":"ES] Introducción: Los teléfonos inteligentes son los máximos exponentes de la era de la movilidad y de la conectividad tecnológica. En este artículo investigamos los hábitos de uso y consumo de audiovisuales en éstos dentro del target universitario. Metodología: De corte cuantitativo, se ha diseñado un cuestionario específico que fue distribuido en entrevistas cara a cara apoyándonos en un T-CAPI (Tablet and Computer Assisted Personal Interview) que constaba de 36 preguntas-ítems. Resultados y discusión: Se especifican las principales diferencias en el consumo de vídeo en las redes 3G y 4G en la muestra analizada, consolidándose la tendencia hacia consumos más ávidos en redes más potentes y rápidas así como un crecimiento en el uso del Smartphone en las actividades en second screen.","author":[{"dropping-particle":"","family":"Ramos Méndez","given":"D.","non-dropping-particle":"","parse-names":false,"suffix":""},{"dropping-particle":"","family":"Ortega-Mohedano","given":"F.","non-dropping-particle":"","parse-names":false,"suffix":""}],"container-title":"Revista Latina de Comunicacion Social","id":"ITEM-1","issued":{"date-parts":[["2017"]]},"page":"704-718","title":"La revolución en los hábitos de uso y consumo de vídeo en teléfonos inteligentes entre usuarios Millenials, la encrucijada revelada","type":"article-journal","volume":"72"},"uris":["http://www.mendeley.com/documents/?uuid=f4a91d14-dc40-407f-a9d5-ef278f64cfa0"]},{"id":"ITEM-2","itemData":{"ISSN":"1575-9628","abstract":"The first screen was the cinema, then television came into our homes and became the focus of the family group, which got information, was entertained and was formed? around it. The third screen was expressed as the face of the computer, and through it we could access to that species of ``modern Alexandria Library{''} that is Internet. Everything is there, from the cinema to the doctor, the answer to any question, social networking, sports or movies. But suddenly all that has appeared in the palm of our hand: it is the fourth screen. The introduction of broadband telephony has turned the smartphone into a kind of epicenter of any form of entertainment, information or communication that we can imagine and some that we not yet imagine. The content already produced have in the Smartphone its primary destination if of the young people we speak. And we speak, therefore, of the future.","author":[{"dropping-particle":"","family":"Castillo-Pomeda","given":"Jose María","non-dropping-particle":"","parse-names":false,"suffix":""}],"container-title":"Revista de Comunicación de la SEECI","id":"ITEM-2","issue":"40","issued":{"date-parts":[["2016"]]},"page":"1-17","title":"Connected. the Fourth Screen As Epicenter of Social Communications","type":"article-journal"},"uris":["http://www.mendeley.com/documents/?uuid=a7516f59-df73-4998-8366-619c5fbb71a1"]}],"mendeley":{"formattedCitation":"(Castillo-Pomeda, 2016; Ramos Méndez &amp; Ortega-Mohedano, 2017)","plainTextFormattedCitation":"(Castillo-Pomeda, 2016; Ramos Méndez &amp; Ortega-Mohedano, 2017)","previouslyFormattedCitation":"(Castillo-Pomeda, 2016; Ramos Méndez &amp; Ortega-Mohedano,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(Castillo-Pomeda, 2016; Ramos Méndez &amp; Ortega-Mohedano,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y por la adopción de un rol más activo en el proceso comunicacional derivado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{"citationItems":[{"id":"ITEM-1","itemData":{"ISSN":"1134-3478","abstract":"los profundos cambios acaecidos en la configuración del contexto mediático en los últimos tiempos han generado cambios tanto en el medio televisivo como en las relaciones establecidas con él. es por ello que resulta necesario conocer cómo consumen la televisión los jóvenes actuales en aras de crear estrategias que ayuden a capacitarlos en la utilización de este medio. Con este fin, en esta investigación se han estudiado las pautas de consumo televisivo de 553 adolescentes (267 chicos y 286 chicas) de irlanda, españa y México, de edades comprendidas entre 14 y 19 años. Mediante la aplicación de dos cuestionarios (Ch-tv 0.2 y valtv 0.2) se han podido detectar cuatro pautas de consumo generalizables a todos los contextos estudiados. dos de estas pautas, diferencian el consumo entre hombres (Crítico-Cultural) y mujeres (social-Conversacional), siendo ellos los que realizan un consumo más cultural e informativo y ellas, más dirigido a entablar conversación con sus amistades. en lo que a las otras dos pautas se refiere, la percepción de un clima conflictivo (consumo Conflictivo-pasivo) o la de una mediación responsable (consumo Comprometido-positivo) son algunas de las variables que marcan las diferencias. además, se han detectado aquellos factores que presentan mayor poder discriminativo en la configuración de estas pautas, siendo la preferencia mostrada hacia los géneros televisivos el factor más discriminante entre los estudiados. sin embargo, la permanencia, el realismo percibido y el contexto cultural no han resultado ser determinantes.","author":[{"dropping-particle":"","family":"Ugalde Lujambio","given":"Leire","non-dropping-particle":"","parse-names":false,"suffix":""},{"dropping-particle":"","family":"Martínez","given":"Juan","non-dropping-particle":"","parse-names":false,"suffix":""},{"dropping-particle":"","family":"Medrano Samaniego","given":"María","non-dropping-particle":"","parse-names":false,"suffix":""}],"container-title":"Comunicar: Revista científica iberoamericana de comunicación y educación","id":"ITEM-1","issue":"50","issued":{"date-parts":[["2017"]]},"page":"67-76","title":"Pautas de consumo televisivo en adolescentes de la era digital: un estudio transcultural","type":"article-journal"},"uris":["http://www.mendeley.com/documents/?uuid=93e244c8-33eb-409e-97fe-35919487a116"]},{"id":"ITEM-2","itemData":{"DOI":"https://doi.org/10.14201/fjc201817193213","author":[{"dropping-particle":"","family":"Atarama-Rojas","given":"Tomás","non-dropping-particle":"","parse-names":false,"suffix":""},{"dropping-particle":"","family":"Requena Zapata","given":"Selene","non-dropping-particle":"","parse-names":false,"suffix":""}],"container-title":"Fonseca, Journal of Communication","id":"ITEM-2","issue":"17","issued":{"date-parts":[["2018"]]},"page":"193-213","title":"Narrativa Transmedia: Análisis de la participación de la audiencia en la serie 13 reasons why para la aproximación al tema del suicidio","type":"article-journal"},"uris":["http://www.mendeley.com/documents/?uuid=0115c759-f843-44f4-bb6b-80a3328d7359"]}],"mendeley":{"formattedCitation":"(Atarama-Rojas &amp; Requena Zapata, 2018; Ugalde Lujambio et al., 2017)","plainTextFormattedCitation":"(Atarama-Rojas &amp; Requena Zapata, 2018; Ugalde Lujambio et al., 2017)","previouslyFormattedCitation":"(Atarama-Rojas &amp; Requena Zapata, 2018; Ugalde Lujambio et al.,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 xml:space="preserve">(Atarama-Rojas &amp; Requena Zapata, 2018; Ugalde Lujambio </w:t>
      </w:r>
      <w:r w:rsidRPr="00672817">
        <w:rPr>
          <w:rFonts w:ascii="Tahoma" w:eastAsia="Times" w:hAnsi="Tahoma" w:cs="Tahoma"/>
          <w:i/>
          <w:iCs/>
          <w:noProof/>
          <w:sz w:val="24"/>
          <w:szCs w:val="24"/>
        </w:rPr>
        <w:t>et al.</w:t>
      </w:r>
      <w:r w:rsidRPr="00F21E9C">
        <w:rPr>
          <w:rFonts w:ascii="Tahoma" w:eastAsia="Times" w:hAnsi="Tahoma" w:cs="Tahoma"/>
          <w:noProof/>
          <w:sz w:val="24"/>
          <w:szCs w:val="24"/>
        </w:rPr>
        <w:t>,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Este es uno de los rasgos más notables de la digitalización audiovisual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Información","id":"ITEM-1","issue":"6","issued":{"date-parts":[["2017"]]},"page":"1139","title":"Comunidades de fans y ficción televisiva. Estudio de caso: El ministerio del tiempo (TVE)","type":"article-journal","volume":"26"},"uris":["http://www.mendeley.com/documents/?uuid=4d95a773-0bf3-41f2-b03f-94fe0e38dab0"]}],"mendeley":{"formattedCitation":"(Torregrosa-Carmona &amp; Rodríguez-Gómez, 2017)","plainTextFormattedCitation":"(Torregrosa-Carmona &amp; Rodríguez-Gómez, 2017)","previouslyFormattedCitation":"(Torregrosa-Carmona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(Torregrosa-Carmona &amp; Rodríguez-Gómez,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que ha sido posible gracias a un desarrollo tecnológico al servicio de las nuevas prácticas de consumo de contenidos de las audiencias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{"citationItems":[{"id":"ITEM-1","itemData":{"author":[{"dropping-particle":"","family":"Scolari","given":"C. A.","non-dropping-particle":"","parse-names":false,"suffix":""}],"id":"ITEM-1","issued":{"date-parts":[["2013"]]},"publisher":"Deusto","publisher-place":"Barcelona","title":"Narrativas transmedia. Cuando todos los medios cuentan","type":"book"},"uris":["http://www.mendeley.com/documents/?uuid=ce9cf645-d63c-4a6c-a9b1-3484ce701f1e"]}],"mendeley":{"formattedCitation":"(Scolari, 2013)","plainTextFormattedCitation":"(Scolari, 2013)","previouslyFormattedCitation":"(Scolari, 2013)"},"properties":{"noteIndex":0},"schema":"https://github.com/citation-style-language/schema/raw/master/csl-citation.json"}</w:instrText>
      </w:r>
      <w:r w:rsidRPr="00F21E9C">
        <w:rPr>
          <w:rFonts w:ascii="Tahoma" w:eastAsia="Times" w:hAnsi="Tahoma" w:cs="Tahoma"/>
          <w:sz w:val="24"/>
          <w:szCs w:val="24"/>
        </w:rPr>
        <w:fldChar w:fldCharType="separate"/>
      </w:r>
      <w:r w:rsidRPr="002B5029">
        <w:rPr>
          <w:rFonts w:ascii="Tahoma" w:eastAsia="Times" w:hAnsi="Tahoma" w:cs="Tahoma"/>
          <w:noProof/>
          <w:sz w:val="24"/>
          <w:szCs w:val="24"/>
        </w:rPr>
        <w:t>(Scolari, 2013)</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fundamentalmente, de las integradas por los  más jóvenes ya que han sido su principal impulsor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{"citationItems":[{"id":"ITEM-1","itemData":{"author":[{"dropping-particle":"","family":"Rubio Gil","given":"Ángeles","non-dropping-particle":"","parse-names":false,"suffix":""}],"container-title":"Revista de estudios de juventud","id":"ITEM-1","issue":"88","issued":{"date-parts":[["2010"]]},"page":"201-221","title":"Generación digital: patrones de consumo de Internet, cultura juvenil y cambio social","type":"article-journal"},"uris":["http://www.mendeley.com/documents/?uuid=a36fefbe-df0d-4943-a99d-a1e068f1bcb0"]},{"id":"ITEM-2","itemData":{"DOI":"10.1177/0044118X10383655","ISSN":"0044118X","abstract":"Media is now central to how youth form their identities. Media also shapes the cultural background of much of young people's action and decision making and the institutional framework of social interaction. This article explores this mediated \"lifeworld\" of young people by examining rates of current media use and the infiltration of media into conventional forms of socialization such as schools, family, and peers. The authors argue that increasing media use coincides with a larger structural shift to an information-based society wherein social relationships are constituted and reinforced through a cycle of \"networked individualism\" and growing \"risk\" among youth. The authors illustrate the cycle of media use, individualization, and risk by briefly examining (a) rising economic insecurity among all Americans and American youth in particular, and (b) the contradictions minority youth face in navigating structural barriers to achievement. The authors conclude by discussing the implications of their work and suggesting policy directions for youth in a media-saturated society. © 2011 SAGE Publications.","author":[{"dropping-particle":"","family":"Morimoto","given":"Shauna A.","non-dropping-particle":"","parse-names":false,"suffix":""},{"dropping-particle":"","family":"Friedland","given":"Lewis A.","non-dropping-particle":"","parse-names":false,"suffix":""}],"container-title":"Youth and Society","id":"ITEM-2","issue":"2","issued":{"date-parts":[["2011"]]},"page":"549-567","title":"The lifeworld of youth in the information society","type":"article-journal","volume":"43"},"uris":["http://www.mendeley.com/documents/?uuid=34cbf456-ff14-4278-9152-a7b2eb6ee9a7"]}],"mendeley":{"formattedCitation":"(Morimoto &amp; Friedland, 2011; Rubio Gil, 2010)","plainTextFormattedCitation":"(Morimoto &amp; Friedland, 2011; Rubio Gil, 2010)","previouslyFormattedCitation":"(Morimoto &amp; Friedland, 2011; Rubio Gil, 2010)"},"properties":{"noteIndex":0},"schema":"https://github.com/citation-style-language/schema/raw/master/csl-citation.json"}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(Morimoto &amp; Friedland, 2011; Rubio Gil, 2010)</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La industria audiovisual se enfrenta a nuevos modelos de distribución </w:t>
      </w:r>
      <w:r>
        <w:rPr>
          <w:rFonts w:ascii="Tahoma" w:eastAsia="Times" w:hAnsi="Tahoma" w:cs="Tahoma"/>
          <w:sz w:val="24"/>
          <w:szCs w:val="24"/>
        </w:rPr>
        <w:t xml:space="preserve">y </w:t>
      </w:r>
      <w:r w:rsidRPr="00F21E9C">
        <w:rPr>
          <w:rFonts w:ascii="Tahoma" w:eastAsia="Times" w:hAnsi="Tahoma" w:cs="Tahoma"/>
          <w:sz w:val="24"/>
          <w:szCs w:val="24"/>
        </w:rPr>
        <w:t xml:space="preserve">de procesos comunicativos con sus públicos en los que debe potenciar la </w:t>
      </w:r>
      <w:proofErr w:type="spellStart"/>
      <w:r w:rsidRPr="00F21E9C">
        <w:rPr>
          <w:rFonts w:ascii="Tahoma" w:eastAsia="Times" w:hAnsi="Tahoma" w:cs="Tahoma"/>
          <w:sz w:val="24"/>
          <w:szCs w:val="24"/>
        </w:rPr>
        <w:t>multidireccionalidad</w:t>
      </w:r>
      <w:proofErr w:type="spellEnd"/>
      <w:r w:rsidRPr="00F21E9C">
        <w:rPr>
          <w:rFonts w:ascii="Tahoma" w:eastAsia="Times" w:hAnsi="Tahoma" w:cs="Tahoma"/>
          <w:sz w:val="24"/>
          <w:szCs w:val="24"/>
        </w:rPr>
        <w:t xml:space="preserve"> de la comunicación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{"citationItems":[{"id":"ITEM-1","itemData":{"DOI":"10.4185/RLCS-2017-1187","abstract":"ES] Introducción: Los teléfonos inteligentes son los máximos exponentes de la era de la movilidad y de la conectividad tecnológica. En este artículo investigamos los hábitos de uso y consumo de audiovisuales en éstos dentro del target universitario. Metodología: De corte cuantitativo, se ha diseñado un cuestionario específico que fue distribuido en entrevistas cara a cara apoyándonos en un T-CAPI (Tablet and Computer Assisted Personal Interview) que constaba de 36 preguntas-ítems. Resultados y discusión: Se especifican las principales diferencias en el consumo de vídeo en las redes 3G y 4G en la muestra analizada, consolidándose la tendencia hacia consumos más ávidos en redes más potentes y rápidas así como un crecimiento en el uso del Smartphone en las actividades en second screen.","author":[{"dropping-particle":"","family":"Ramos Méndez","given":"D.","non-dropping-particle":"","parse-names":false,"suffix":""},{"dropping-particle":"","family":"Ortega-Mohedano","given":"F.","non-dropping-particle":"","parse-names":false,"suffix":""}],"container-title":"Revista Latina de Comunicacion Social","id":"ITEM-1","issued":{"date-parts":[["2017"]]},"page":"704-718","title":"La revolución en los hábitos de uso y consumo de vídeo en teléfonos inteligentes entre usuarios Millenials, la encrucijada revelada","type":"article-journal","volume":"72"},"uris":["http://www.mendeley.com/documents/?uuid=f4a91d14-dc40-407f-a9d5-ef278f64cfa0"]},{"id":"ITEM-2","itemData":{"DOI":"https://doi.org/10.14201/fjc201817193213","author":[{"dropping-particle":"","family":"Atarama-Rojas","given":"Tomás","non-dropping-particle":"","parse-names":false,"suffix":""},{"dropping-particle":"","family":"Requena Zapata","given":"Selene","non-dropping-particle":"","parse-names":false,"suffix":""}],"container-title":"Fonseca, Journal of Communication","id":"ITEM-2","issue":"17","issued":{"date-parts":[["2018"]]},"page":"193-213","title":"Narrativa Transmedia: Análisis de la participación de la audiencia en la serie 13 reasons why para la aproximación al tema del suicidio","type":"article-journal"},"uris":["http://www.mendeley.com/documents/?uuid=0115c759-f843-44f4-bb6b-80a3328d7359"]},{"id":"ITEM-3","itemData":{"DOI":"10.5209/hics.69226","ISSN":"1137-0734","abstract":"La industria del entretenimiento ha promovido la expansión de contenidos de éxito en universos transmedia como una estrategia de rentabilización y atracción de públicos. Si bien estas narrativas están viviendo su máxima expresión gracias a la convergencia de medios y formatos, la expansión de una historia a través de diversas plataformas y lenguajes no constituye un fenómeno nuevo. El presente trabajo tiene por objeto analizar el universo Flash Gordon desde la perspectiva de la arqueología transmedia y, más concretamente, dentro de las franquicias basadas en el personaje.","author":[{"dropping-particle":"","family":"Piñeiro-Otero","given":"Teresa","non-dropping-particle":"","parse-names":false,"suffix":""}],"container-title":"Historia y Comunicación Social","id":"ITEM-3","issue":"1","issued":{"date-parts":[["2020"]]},"page":"45-56","title":"Flash Gordon. La expansión del héroe intergaláctico como ejemplo de arqueología transmedia","type":"article-journal","volume":"25"},"uris":["http://www.mendeley.com/documents/?uuid=1f0d1f78-e859-455f-b79c-8b56ee9bc559"]}],"mendeley":{"formattedCitation":"(Atarama-Rojas &amp; Requena Zapata, 2018; Piñeiro-Otero, 2020; Ramos Méndez &amp; Ortega-Mohedano, 2017)","plainTextFormattedCitation":"(Atarama-Rojas &amp; Requena Zapata, 2018; Piñeiro-Otero, 2020; Ramos Méndez &amp; Ortega-Mohedano, 2017)","previouslyFormattedCitation":"(Atarama-Rojas &amp; Requena Zapata, 2018; Piñeiro-Otero, 2020; Ramos Méndez &amp; Ortega-Mohedano, 2017)"},"properties":{"noteIndex":0},"schema":"https://github.com/citation-style-language/schema/raw/master/csl-citation.json"}</w:instrText>
      </w:r>
      <w:r w:rsidRPr="00F21E9C">
        <w:rPr>
          <w:rFonts w:ascii="Tahoma" w:eastAsia="Times" w:hAnsi="Tahoma" w:cs="Tahoma"/>
          <w:sz w:val="24"/>
          <w:szCs w:val="24"/>
        </w:rPr>
        <w:fldChar w:fldCharType="separate"/>
      </w:r>
      <w:r w:rsidRPr="00524E1B">
        <w:rPr>
          <w:rFonts w:ascii="Tahoma" w:eastAsia="Times" w:hAnsi="Tahoma" w:cs="Tahoma"/>
          <w:noProof/>
          <w:sz w:val="24"/>
          <w:szCs w:val="24"/>
        </w:rPr>
        <w:t>(Atarama-Rojas &amp; Requena Zapata, 2018; Piñeiro-Otero, 2020; Ramos Méndez &amp; Ortega-Mohedano,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En consecuencia,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y el resto de empresas del sector deben incentivar el papel de sus </w:t>
      </w:r>
      <w:proofErr w:type="spellStart"/>
      <w:r w:rsidRPr="00F21E9C">
        <w:rPr>
          <w:rFonts w:ascii="Tahoma" w:eastAsia="Times" w:hAnsi="Tahoma" w:cs="Tahoma"/>
          <w:i/>
          <w:iCs/>
          <w:sz w:val="24"/>
          <w:szCs w:val="24"/>
        </w:rPr>
        <w:t>stakeholders</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como </w:t>
      </w:r>
      <w:proofErr w:type="spellStart"/>
      <w:r w:rsidRPr="00F21E9C">
        <w:rPr>
          <w:rFonts w:ascii="Tahoma" w:eastAsia="Times" w:hAnsi="Tahoma" w:cs="Tahoma"/>
          <w:i/>
          <w:iCs/>
          <w:sz w:val="24"/>
          <w:szCs w:val="24"/>
        </w:rPr>
        <w:t>adprosumers</w:t>
      </w:r>
      <w:proofErr w:type="spellEnd"/>
      <w:r w:rsidRPr="00F21E9C">
        <w:rPr>
          <w:rFonts w:ascii="Tahoma" w:eastAsia="Times" w:hAnsi="Tahoma" w:cs="Tahoma"/>
          <w:i/>
          <w:iCs/>
          <w:sz w:val="24"/>
          <w:szCs w:val="24"/>
        </w:rPr>
        <w:t xml:space="preserve"> </w:t>
      </w:r>
      <w:r w:rsidRPr="00F21E9C">
        <w:rPr>
          <w:rFonts w:ascii="Tahoma" w:eastAsia="Times" w:hAnsi="Tahoma" w:cs="Tahoma"/>
          <w:i/>
          <w:iCs/>
          <w:sz w:val="24"/>
          <w:szCs w:val="24"/>
        </w:rPr>
        <w:fldChar w:fldCharType="begin" w:fldLock="1"/>
      </w:r>
      <w:r>
        <w:rPr>
          <w:rFonts w:ascii="Tahoma" w:eastAsia="Times" w:hAnsi="Tahoma" w:cs="Tahoma"/>
          <w:i/>
          <w:iCs/>
          <w:sz w:val="24"/>
          <w:szCs w:val="24"/>
        </w:rPr>
        <w:instrText>ADDIN CSL_CITATION {"citationItems":[{"id":"ITEM-1","itemData":{"ISBN":"978-84-9116-339-8","author":[{"dropping-particle":"","family":"Monserrat-Gauchi","given":"Juan","non-dropping-particle":"","parse-names":false,"suffix":""},{"dropping-particle":"","family":"Martínez-Sala","given":"Alba-María","non-dropping-particle":"","parse-names":false,"suffix":""}],"container-title":"Casos de estudio de Relaciones Públicas. Sociedad conectada: empresas y universidades","editor":[{"dropping-particle":"","family":"Mut","given":"M.","non-dropping-particle":"","parse-names":false,"suffix":""},{"dropping-particle":"","family":"Oliveira","given":"A.","non-dropping-particle":"","parse-names":false,"suffix":""},{"dropping-particle":"","family":"Alberto Pérez","given":"R.","non-dropping-particle":"","parse-names":false,"suffix":""},{"dropping-particle":"","family":"Xifra","given":"J.","non-dropping-particle":"","parse-names":false,"suffix":""}],"id":"ITEM-1","issued":{"date-parts":[["2016"]]},"page":"59-85","publisher":"Editorial UOC. Colección DIRCOM","publisher-place":"Barcelona","title":"Cambio de paradigma en la interacción de las empresas con sus públicos. La generación de contenidos a través de Facebook","type":"chapter"},"uris":["http://www.mendeley.com/documents/?uuid=27ae2725-d4d0-49d2-b856-67d0b1de2f5d"]},{"id":"ITEM-2","itemData":{"author":[{"dropping-particle":"","family":"Monserrat-Gauchi","given":"Juan","non-dropping-particle":"","parse-names":false,"suffix":""},{"dropping-particle":"","family":"Quiles-Soler","given":"María-Carmen","non-dropping-particle":"","parse-names":false,"suffix":""},{"dropping-particle":"","family":"Martínez-Sala","given":"Alba-María","non-dropping-particle":"","parse-names":false,"suffix":""}],"container-title":"Prisma Social","id":"ITEM-2","issue":"18","issued":{"date-parts":[["2017"]]},"page":"540-560","title":"La participación ciudadana en la comunicación de las organizaciones. Análisis de las franquicias de salud-belleza, decoración y restauración","type":"article-journal"},"uris":["http://www.mendeley.com/documents/?uuid=bef27ba6-a854-4aad-95f6-7a3f65d50c47"]}],"mendeley":{"formattedCitation":"(Monserrat-Gauchi et al., 2017; Monserrat-Gauchi &amp; Martínez-Sala, 2016)","plainTextFormattedCitation":"(Monserrat-Gauchi et al., 2017; Monserrat-Gauchi &amp; Martínez-Sala, 2016)","previouslyFormattedCitation":"(Monserrat-Gauchi et al., 2017; Monserrat-Gauchi &amp; Martínez-Sala, 2016)"},"properties":{"noteIndex":0},"schema":"https://github.com/citation-style-language/schema/raw/master/csl-citation.json"}</w:instrText>
      </w:r>
      <w:r w:rsidRPr="00F21E9C">
        <w:rPr>
          <w:rFonts w:ascii="Tahoma" w:eastAsia="Times" w:hAnsi="Tahoma" w:cs="Tahoma"/>
          <w:i/>
          <w:iCs/>
          <w:sz w:val="24"/>
          <w:szCs w:val="24"/>
        </w:rPr>
        <w:fldChar w:fldCharType="separate"/>
      </w:r>
      <w:r w:rsidRPr="00C9773A">
        <w:rPr>
          <w:rFonts w:ascii="Tahoma" w:eastAsia="Times" w:hAnsi="Tahoma" w:cs="Tahoma"/>
          <w:iCs/>
          <w:noProof/>
          <w:sz w:val="24"/>
          <w:szCs w:val="24"/>
        </w:rPr>
        <w:t xml:space="preserve">(Monserrat-Gauchi </w:t>
      </w:r>
      <w:r w:rsidRPr="00672817">
        <w:rPr>
          <w:rFonts w:ascii="Tahoma" w:eastAsia="Times" w:hAnsi="Tahoma" w:cs="Tahoma"/>
          <w:i/>
          <w:iCs/>
          <w:noProof/>
          <w:sz w:val="24"/>
          <w:szCs w:val="24"/>
        </w:rPr>
        <w:t>et al.</w:t>
      </w:r>
      <w:r w:rsidRPr="00C9773A">
        <w:rPr>
          <w:rFonts w:ascii="Tahoma" w:eastAsia="Times" w:hAnsi="Tahoma" w:cs="Tahoma"/>
          <w:iCs/>
          <w:noProof/>
          <w:sz w:val="24"/>
          <w:szCs w:val="24"/>
        </w:rPr>
        <w:t>, 2017; Monserrat-Gauchi &amp; Martínez-Sala, 2016)</w:t>
      </w:r>
      <w:r w:rsidRPr="00F21E9C">
        <w:rPr>
          <w:rFonts w:ascii="Tahoma" w:eastAsia="Times" w:hAnsi="Tahoma" w:cs="Tahoma"/>
          <w:i/>
          <w:iCs/>
          <w:sz w:val="24"/>
          <w:szCs w:val="24"/>
        </w:rPr>
        <w:fldChar w:fldCharType="end"/>
      </w:r>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porque bajo el modelo web 2.0 los comentarios de los usuarios ejercen mayor influencia que los de las propias organizaciones, favoreciendo la fidelización a través de la creación de comunidades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{"citationItems":[{"id":"ITEM-1","itemData":{"DOI":"https://doi.org/10.14201/fjc201817193213","author":[{"dropping-particle":"","family":"Atarama-Rojas","given":"Tomás","non-dropping-particle":"","parse-names":false,"suffix":""},{"dropping-particle":"","family":"Requena Zapata","given":"Selene","non-dropping-particle":"","parse-names":false,"suffix":""}],"container-title":"Fonseca, Journal of Communication","id":"ITEM-1","issue":"17","issued":{"date-parts":[["2018"]]},"page":"193-213","title":"Narrativa Transmedia: Análisis de la participación de la audiencia en la serie 13 reasons why para la aproximación al tema del suicidio","type":"article-journal"},"uris":["http://www.mendeley.com/documents/?uuid=0115c759-f843-44f4-bb6b-80a3328d7359"]},{"id":"ITEM-2","itemData":{"DOI":"10.3145/epi.2018.nov.12","ISBN":"0000000310","ISSN":"1386-6710","abstract":"Resumen: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Información","id":"ITEM-2","issue":"6","issued":{"date-parts":[["2018"]]},"page":"1292","title":"La estrategia de engagement de Netflix España en Twitter","type":"article-journal","volume":"27"},"uris":["http://www.mendeley.com/documents/?uuid=8dcc95d0-fef3-455b-ba0c-5a9c17ea0c53"]},{"id":"ITEM-3","itemData":{"ISSN":"2174-1859","abstract":"El presente trabajo pretende mostrar la importancia que tiene el papel del prosumidor a la hora de desarrollar la narrativa transmedia de las series de ficción en televisión. Las contribuciones de este nuevo tipo de consumidor no pueden ser menospreciadas, se les debe otorgar la importancia que merecen, pues sus creaciones no hacen sino aumentar la visibilidad y el valor de marca de la historia en cuestión. Para la realización de esta investigación se ha llevado a cabo un estudio del caso de la serie de ficción El Ministerio del Tiempo. El fenómeno fan originado a raíz de esta serie ha favorecido la creación de una enorme cantidad de contenido transmedia. Este artículo muestra cómo las aportaciones de los prosumidores son tan importantes como el propio desarrollo oficial de la serie. Hacen que ésta crezca y sea más completa, generando una fidelidad por parte de los espectadores mucho mayor que las series que sólo se preocupan por su desarrollo monomediático. Son un grupo especial de espectadores a los que hay que cuidar y escuchar, pues son los mayores fans de estos productos audiovisuales. Y, además, pueden encumbrar o destruir un proyecto de estas características.","author":[{"dropping-particle":"","family":"Miranda Galbe","given":"Jorge","non-dropping-particle":"","parse-names":false,"suffix":""},{"dropping-particle":"","family":"Figuero Espadas","given":"Javier","non-dropping-particle":"","parse-names":false,"suffix":""}],"container-title":"index.comunicación","id":"ITEM-3","issue":"2","issued":{"date-parts":[["2016"]]},"page":"115-134","title":"El rol del prosumidor en la expansión narrativa transmedia de las historias de ficción en televisión: el caso de ‘El Ministerio del Tiempo’","type":"article-journal","volume":"6"},"uris":["http://www.mendeley.com/documents/?uuid=714843e6-0191-4e28-aa1d-1fda2e66a400"]},{"id":"ITEM-4","itemData":{"DOI":"10.3916/C43-2014-08","ISSN":"1134-3478","abstract":"La combinación de redes sociales, segundas pantallas y televisión ha propiciado la aparición de una nueva relación de los espectadores con la televisión en la que los habituales roles del paradigma de la comunicación se han alterado. La televisión social ha dado pie al nacimiento de la audiencia social entendida como una fragmentación de la audiencia real en función de su interactividad en las redes sociales. Este trabajo pretende estudiar los elementos que contribuyen al éxito o fracaso de programas con un mismo formato en relación a la audiencia social. Para ello se han tomado como objeto de estudio los tres talent show que lanzaron las principales cadenas generalistas españolas en septiembre del año 2013. Se ha procedido a la observación del impacto de dichos programas en la red social Twitter empleando una ficha de elaboración propia y se desarrolló un sistema de categorías de análisis y códigos con el fin de recopilar toda la información recogida. Los resultados obtenidos indican que en el éxito de los programas analizados en audiencia social influye la actividad de la cuentas de los presentadores y del jurado. Las conclusiones alcanzadas tras este análisis de la experiencia española pueden servir como modelo de desarrollo de la audiencia social para otros países en los que esta no se encuentre tan extendida.","author":[{"dropping-particle":"","family":"Quintas-Froufe","given":"Natalia","non-dropping-particle":"","parse-names":false,"suffix":""},{"dropping-particle":"","family":"González-Neira","given":"Ana","non-dropping-particle":"","parse-names":false,"suffix":""}],"container-title":"Comunicar","id":"ITEM-4","issue":"43","issued":{"date-parts":[["2014"]]},"page":"83-90","title":"Audiencias activas: participación de la audiencia social en la televisión","type":"article-journal","volume":"XXII"},"uris":["http://www.mendeley.com/documents/?uuid=036d4d9c-5a78-4194-8c77-84168ac0d6ef"]},{"id":"ITEM-5","itemData":{"ISSN":"10121587","abstract":"Among the newly Spanish transmedia television panorama, the experience made by Victor Ros (TVE series) stands out. The aim of the current paper is focusing on the use given to the main character personal profile on Twitter as a way to expand its transmedia universe. From this perspective, more than one thousand and six hundred tweets have been analyzed. The results lay on the table the use given to the fictional detective character profile to develop a transmedia storytelling in first person, as well as to interact with his followers.","author":[{"dropping-particle":"","family":"Barrientos-Bueno","given":"Mónica","non-dropping-particle":"","parse-names":false,"suffix":""}],"container-title":"Opcion","id":"ITEM-5","issue":"Special Issue 3","issued":{"date-parts":[["2015"]]},"page":"161-181","title":"Expansión narrativa de Víctor Ros: Transmedia storytelling en twitter","type":"article-journal","volume":"31"},"uris":["http://www.mendeley.com/documents/?uuid=08c61eea-7093-4db3-b7d7-82a22f5fc0ab"]}],"mendeley":{"formattedCitation":"(Atarama-Rojas &amp; Requena Zapata, 2018; Barrientos-Bueno, 2015; Fernández-Gómez &amp; Martín-Quevedo, 2018b; Miranda Galbe &amp; Figuero Espadas, 2016; Quintas-Froufe &amp; González-Neira, 2014)","plainTextFormattedCitation":"(Atarama-Rojas &amp; Requena Zapata, 2018; Barrientos-Bueno, 2015; Fernández-Gómez &amp; Martín-Quevedo, 2018b; Miranda Galbe &amp; Figuero Espadas, 2016; Quintas-Froufe &amp; González-Neira, 2014)","previouslyFormattedCitation":"(Atarama-Rojas &amp; Requena Zapata, 2018; Barrientos-Bueno, 2015; Fernández-Gómez &amp; Martín-Quevedo, 2018b; Miranda Galbe &amp; Figuero Espadas, 2016; Quintas-Froufe &amp; González-Neira, 2014)"},"properties":{"noteIndex":0},"schema":"https://github.com/citation-style-language/schema/raw/master/csl-citation.json"}</w:instrText>
      </w:r>
      <w:r w:rsidRPr="00F21E9C">
        <w:rPr>
          <w:rFonts w:ascii="Tahoma" w:eastAsia="Times" w:hAnsi="Tahoma" w:cs="Tahoma"/>
          <w:sz w:val="24"/>
          <w:szCs w:val="24"/>
        </w:rPr>
        <w:fldChar w:fldCharType="separate"/>
      </w:r>
      <w:r w:rsidRPr="00E06AEF">
        <w:rPr>
          <w:rFonts w:ascii="Tahoma" w:eastAsia="Times" w:hAnsi="Tahoma" w:cs="Tahoma"/>
          <w:noProof/>
          <w:sz w:val="24"/>
          <w:szCs w:val="24"/>
        </w:rPr>
        <w:t>(Atarama-Rojas &amp; Requena Zapata, 2018; Barrientos-Bueno, 2015; Fernández-Gómez &amp; Martín-Quevedo, 2018b; Miranda Galbe &amp; Figuero Espadas, 2016; Quintas-Froufe &amp; González-Neira, 2014)</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Esto implica ciertas dificultades ya que las audiencias actuales son fieles a los contenidos y, no tanto, a la plataforma o marca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Studies","id":"ITEM-1","issue":"2","issued":{"date-parts":[["2018"]]},"page":"127-146","publisher":"Routledge","title":"Connecting with audiences in new markets: Netflix´s Twitter strategy in Spain","type":"article-journal","volume":"15"},"uris":["http://www.mendeley.com/documents/?uuid=fc5dea6f-1186-46f4-b852-8cb84dbc140d"]},{"id":"ITEM-2","itemData":{"DOI":"10.5209/rev_MESO.2009.n5.22324","ISSN":"1989-0494","abstract":"Tras los ataques terroristas del 11 de Septiembre de 2001, una particular representación de la guerra aparece como argumento central de prestigiosas series televisivas contemporáneas. Este artículo pretende indagar en la relación existente entre ficción televisiva e Historia estudiando la representación de la guerra en estas narraciones audiovisuales. Para ello, se analizarán los pilotos de dos distinguidas series de televisión cuya temática central se basa en dos contiendas en la que Estados Unidos ha ocupado un papel destacado: Band of Brothers (HBO, 2001) y Generation Kill (HBO, 2008). El estudio se centrará en tres vectores principalmente: el conflicto político-histórico tratado, el papel que juega EE.UU. como país en esa guerra y el impacto psicológico de la contienda en los personajes.;After September 11th and due to the Golden Age of television fiction, war representation on TV series appears interesting for scholars. War World II, War of Irak and the ?War on Terror? are the main plots in many prestigious TV shows. This article aims to deepen into the relation between television fiction and History studying the representation of the war and its impact on the creation of social traumas. Two television series will be analyzed, Band of Brothers (HBO, 2001) and Genera-tion Kill (HBO, 2008). This study will be focused on three vectors: political- historical conflict, role of United States in this war and the psychological impact of this war on the main characters.","author":[{"dropping-particle":"","family":"Muruzábal","given":"Amaya","non-dropping-particle":"","parse-names":false,"suffix":""},{"dropping-particle":"","family":"Grandío","given":"María","non-dropping-particle":"","parse-names":false,"suffix":""}],"container-title":"Mediaciones sociales","id":"ITEM-2","issue":"5","issued":{"date-parts":[["2009"]]},"page":"63-83","title":"La representación de la guerra en la ficción televisiva norteamericana contemporánea;Representation of War in Contemporary American Television Fiction","type":"article-journal"},"uris":["http://www.mendeley.com/documents/?uuid=27732d5c-aa75-4f1a-b573-8f78f8173b15"]}],"mendeley":{"formattedCitation":"(Fernández-Gómez &amp; Martín-Quevedo, 2018a; Muruzábal &amp; Grandío, 2009)","plainTextFormattedCitation":"(Fernández-Gómez &amp; Martín-Quevedo, 2018a; Muruzábal &amp; Grandío, 2009)","previouslyFormattedCitation":"(Fernández-Gómez &amp; Martín-Quevedo, 2018a; Muruzábal &amp; Grandío, 2009)"},"properties":{"noteIndex":0},"schema":"https://github.com/citation-style-language/schema/raw/master/csl-citation.json"}</w:instrText>
      </w:r>
      <w:r w:rsidRPr="00F21E9C">
        <w:rPr>
          <w:rFonts w:ascii="Tahoma" w:eastAsia="Times" w:hAnsi="Tahoma" w:cs="Tahoma"/>
          <w:sz w:val="24"/>
          <w:szCs w:val="24"/>
        </w:rPr>
        <w:fldChar w:fldCharType="separate"/>
      </w:r>
      <w:r w:rsidRPr="00E06AEF">
        <w:rPr>
          <w:rFonts w:ascii="Tahoma" w:eastAsia="Times" w:hAnsi="Tahoma" w:cs="Tahoma"/>
          <w:noProof/>
          <w:sz w:val="24"/>
          <w:szCs w:val="24"/>
        </w:rPr>
        <w:t>(Fernández-Gómez &amp; Martín-Quevedo, 2018a; Muruzábal &amp; Grandío, 2009)</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Con la llegada de Internet, y en especial del modelo web 2.0, el concepto de comunidad de marca adquiere una nueva dimensión porque los espacios y los canales de comunicación de sus miembros se multiplican exponencialmente. Tal y como señala </w:t>
      </w:r>
      <w:proofErr w:type="spellStart"/>
      <w:r w:rsidRPr="00F21E9C">
        <w:rPr>
          <w:rFonts w:ascii="Tahoma" w:eastAsia="Times" w:hAnsi="Tahoma" w:cs="Tahoma"/>
          <w:sz w:val="24"/>
          <w:szCs w:val="24"/>
        </w:rPr>
        <w:t>Bellón</w:t>
      </w:r>
      <w:proofErr w:type="spellEnd"/>
      <w:r w:rsidRPr="00F21E9C">
        <w:rPr>
          <w:rFonts w:ascii="Tahoma" w:eastAsia="Times" w:hAnsi="Tahoma" w:cs="Tahoma"/>
          <w:sz w:val="24"/>
          <w:szCs w:val="24"/>
        </w:rPr>
        <w:t xml:space="preserve"> Sánchez de la Blanca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{"citationItems":[{"id":"ITEM-1","itemData":{"abstract":"La revolución digital y la llegada de Internet han configurado un nuevo escenario de recepción de la ficción televisiva, favoreciendo la aparición de un consumidor más activo (prosumer), que elige entre una amplia oferta de entretenimiento. Estos hechos han incidido en la producción audiovisual, que ha empezado a ofrecer narraciones transmedia para responder mejor a las demandas de estos espectadores. En este artículo repasaremos en qué consisten estas narraciones, sus características principales y estableceremos un intento de categorización de las extensiones transmedia empleadas por las series, atendiendo a algunos de los ejemplos más representativos de la televisión actual.","author":[{"dropping-particle":"","family":"Bellón Sánchez de la Blanca","given":"Teresa","non-dropping-particle":"","parse-names":false,"suffix":""}],"container-title":"Revista Comunicación","id":"ITEM-1","issue":"10","issued":{"date-parts":[["2012"]]},"page":"17-31","title":"Nuevos modelos narrativos. Ficción televisiva y transmediación","type":"article-journal","volume":"1"},"suppress-author":1,"uris":["http://www.mendeley.com/documents/?uuid=7f2f2638-97ca-4580-be89-cd0334b01d2c"]}],"mendeley":{"formattedCitation":"(2012)","plainTextFormattedCitation":"(2012)","previouslyFormattedCitation":"(2012)"},"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(2012)</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los consumidores actuales, los </w:t>
      </w:r>
      <w:proofErr w:type="spellStart"/>
      <w:r w:rsidRPr="00F21E9C">
        <w:rPr>
          <w:rFonts w:ascii="Tahoma" w:eastAsia="Times" w:hAnsi="Tahoma" w:cs="Tahoma"/>
          <w:i/>
          <w:iCs/>
          <w:sz w:val="24"/>
          <w:szCs w:val="24"/>
        </w:rPr>
        <w:t>prosumers</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o </w:t>
      </w:r>
      <w:proofErr w:type="spellStart"/>
      <w:r w:rsidRPr="00F21E9C">
        <w:rPr>
          <w:rFonts w:ascii="Tahoma" w:eastAsia="Times" w:hAnsi="Tahoma" w:cs="Tahoma"/>
          <w:i/>
          <w:iCs/>
          <w:sz w:val="24"/>
          <w:szCs w:val="24"/>
        </w:rPr>
        <w:t>adprosumers</w:t>
      </w:r>
      <w:proofErr w:type="spellEnd"/>
      <w:r w:rsidRPr="00F21E9C">
        <w:rPr>
          <w:rFonts w:ascii="Tahoma" w:eastAsia="Times" w:hAnsi="Tahoma" w:cs="Tahoma"/>
          <w:i/>
          <w:iCs/>
          <w:sz w:val="24"/>
          <w:szCs w:val="24"/>
        </w:rPr>
        <w:t>,</w:t>
      </w:r>
      <w:r w:rsidRPr="00F21E9C">
        <w:rPr>
          <w:rFonts w:ascii="Tahoma" w:eastAsia="Times" w:hAnsi="Tahoma" w:cs="Tahoma"/>
          <w:sz w:val="24"/>
          <w:szCs w:val="24"/>
        </w:rPr>
        <w:t xml:space="preserve"> constituyen comunidades virtuales a partir de las relaciones que establecen entre ellos y con la propia marca</w:t>
      </w:r>
      <w:r>
        <w:rPr>
          <w:rFonts w:ascii="Tahoma" w:eastAsia="Times" w:hAnsi="Tahoma" w:cs="Tahoma"/>
          <w:sz w:val="24"/>
          <w:szCs w:val="24"/>
        </w:rPr>
        <w:t xml:space="preserve"> </w:t>
      </w:r>
      <w:r w:rsidRPr="00F21E9C">
        <w:rPr>
          <w:rFonts w:ascii="Tahoma" w:eastAsia="Times" w:hAnsi="Tahoma" w:cs="Tahoma"/>
          <w:sz w:val="24"/>
          <w:szCs w:val="24"/>
        </w:rPr>
        <w:t xml:space="preserve">a través de Internet y, en especial de las redes sociales. Este es el fin último </w:t>
      </w:r>
      <w:r>
        <w:rPr>
          <w:rFonts w:ascii="Tahoma" w:eastAsia="Times" w:hAnsi="Tahoma" w:cs="Tahoma"/>
          <w:sz w:val="24"/>
          <w:szCs w:val="24"/>
        </w:rPr>
        <w:t>de</w:t>
      </w:r>
      <w:r w:rsidRPr="00F21E9C">
        <w:rPr>
          <w:rFonts w:ascii="Tahoma" w:eastAsia="Times" w:hAnsi="Tahoma" w:cs="Tahoma"/>
          <w:sz w:val="24"/>
          <w:szCs w:val="24"/>
        </w:rPr>
        <w:t xml:space="preserve"> cualquier organización que quiera sobrevivir en el mercado actual y para </w:t>
      </w:r>
      <w:r>
        <w:rPr>
          <w:rFonts w:ascii="Tahoma" w:eastAsia="Times" w:hAnsi="Tahoma" w:cs="Tahoma"/>
          <w:sz w:val="24"/>
          <w:szCs w:val="24"/>
        </w:rPr>
        <w:t>lograrlo</w:t>
      </w:r>
      <w:r w:rsidRPr="00F21E9C">
        <w:rPr>
          <w:rFonts w:ascii="Tahoma" w:eastAsia="Times" w:hAnsi="Tahoma" w:cs="Tahoma"/>
          <w:sz w:val="24"/>
          <w:szCs w:val="24"/>
        </w:rPr>
        <w:t xml:space="preserve"> es crucial plantear una estrategia de comunicación en redes sociales que favorezca las conversaciones sobre la marca con el fin de incentivar 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i/>
          <w:iCs/>
          <w:sz w:val="24"/>
          <w:szCs w:val="24"/>
        </w:rPr>
        <w:fldChar w:fldCharType="begin" w:fldLock="1"/>
      </w:r>
      <w:r>
        <w:rPr>
          <w:rFonts w:ascii="Tahoma" w:eastAsia="Times" w:hAnsi="Tahoma" w:cs="Tahoma"/>
          <w:i/>
          <w:iCs/>
          <w:sz w:val="24"/>
          <w:szCs w:val="24"/>
        </w:rPr>
        <w:instrText>ADDIN CSL_CITATION {"citationItems":[{"id":"ITEM-1","itemData":{"author":[{"dropping-particle":"","family":"Martínez-Sala","given":"Alba-María","non-dropping-particle":"","parse-names":false,"suffix":""},{"dropping-particle":"","family":"Segarra-Saavedra","given":"J.","non-dropping-particle":"","parse-names":false,"suffix":""}],"container-title":"Tendencias de la Comunicación para el Turismo","editor":[{"dropping-particle":"","family":"Altamirano-Benítez","given":"V.","non-dropping-particle":"","parse-names":false,"suffix":""},{"dropping-particle":"","family":"Túñez-López","given":"M.","non-dropping-particle":"","parse-names":false,"suffix":""},{"dropping-particle":"","family":"Marín-Gutiérrez","given":"I.","non-dropping-particle":"","parse-names":false,"suffix":""}],"id":"ITEM-1","issued":{"date-parts":[["2020"]]},"page":"149-183","publisher":"Editorial Dykinson","publisher-place":"Madrid","title":"Engagement y disengagement online, factores clave en las estrategias de comunicación turística 2.0.","type":"chapter"},"uris":["http://www.mendeley.com/documents/?uuid=cb7662fc-b6a0-487b-a4b9-4cec3f1b7033"]},{"id":"ITEM-2","itemData":{"ISBN":"978-84-9116-339-8","author":[{"dropping-particle":"","family":"Monserrat-Gauchi","given":"Juan","non-dropping-particle":"","parse-names":false,"suffix":""},{"dropping-particle":"","family":"Martínez-Sala","given":"Alba-María","non-dropping-particle":"","parse-names":false,"suffix":""}],"container-title":"Casos de estudio de Relaciones Públicas. Sociedad conectada: empresas y universidades","editor":[{"dropping-particle":"","family":"Mut","given":"M.","non-dropping-particle":"","parse-names":false,"suffix":""},{"dropping-particle":"","family":"Oliveira","given":"A.","non-dropping-particle":"","parse-names":false,"suffix":""},{"dropping-particle":"","family":"Alberto Pérez","given":"R.","non-dropping-particle":"","parse-names":false,"suffix":""},{"dropping-particle":"","family":"Xifra","given":"J.","non-dropping-particle":"","parse-names":false,"suffix":""}],"id":"ITEM-2","issued":{"date-parts":[["2016"]]},"page":"59-85","publisher":"Editorial UOC. Colección DIRCOM","publisher-place":"Barcelona","title":"Cambio de paradigma en la interacción de las empresas con sus públicos. La generación de contenidos a través de Facebook","type":"chapter"},"uris":["http://www.mendeley.com/documents/?uuid=27ae2725-d4d0-49d2-b856-67d0b1de2f5d"]},{"id":"ITEM-3","itemData":{"author":[{"dropping-particle":"","family":"Monserrat-Gauchi","given":"Juan","non-dropping-particle":"","parse-names":false,"suffix":""},{"dropping-particle":"","family":"Quiles-Soler","given":"María-Carmen","non-dropping-particle":"","parse-names":false,"suffix":""},{"dropping-particle":"","family":"Martínez-Sala","given":"Alba-María","non-dropping-particle":"","parse-names":false,"suffix":""}],"container-title":"Prisma Social","id":"ITEM-3","issue":"18","issued":{"date-parts":[["2017"]]},"page":"540-560","title":"La participación ciudadana en la comunicación de las organizaciones. Análisis de las franquicias de salud-belleza, decoración y restauración","type":"article-journal"},"uris":["http://www.mendeley.com/documents/?uuid=bef27ba6-a854-4aad-95f6-7a3f65d50c47"]},{"id":"ITEM-4","itemData":{"ISSN":"1576-3420","abstract":"Esta investigación cuenta con la financiación de la Fundación CEIBA, a través del programa Bolívar Gana con Ciencia. El artículo forma parte de los proyectos de Innovación de la Universidad Complutense de Madrid \"Universidad y Sociedad: comunicación e integración en empresas e instituciones y organizaciones no lucrativas\", con números de referencia Nº ref.","author":[{"dropping-particle":"","family":"Armírola Garcés","given":"Ledy Paola","non-dropping-particle":"","parse-names":false,"suffix":""},{"dropping-particle":"","family":"García Nieto","given":"María Teresa","non-dropping-particle":"","parse-names":false,"suffix":""},{"dropping-particle":"","family":"Romero González","given":"Gina Claudette","non-dropping-particle":"","parse-names":false,"suffix":""}],"container-title":"Revista de Comunicación de la SEECI","id":"ITEM-4","issue":"52","issued":{"date-parts":[["2020"]]},"page":"149-169","title":"La comunicación digital en las micro y pequeñas empresas: El caso del sector cultural del departamento colombiano de Bolívar","type":"article-journal"},"uris":["http://www.mendeley.com/documents/?uuid=c6532475-dd3c-4371-83ad-81206fe0ed6f"]}],"mendeley":{"formattedCitation":"(Armírola Garcés et al., 2020; Martínez-Sala &amp; Segarra-Saavedra, 2020; Monserrat-Gauchi et al., 2017; Monserrat-Gauchi &amp; Martínez-Sala, 2016)","plainTextFormattedCitation":"(Armírola Garcés et al., 2020; Martínez-Sala &amp; Segarra-Saavedra, 2020; Monserrat-Gauchi et al., 2017; Monserrat-Gauchi &amp; Martínez-Sala, 2016)","previouslyFormattedCitation":"(Armírola Garcés et al., 2020; Martínez-Sala &amp; Segarra-Saavedra, 2020; Monserrat-Gauchi et al., 2017; Monserrat-Gauchi &amp; Martínez-Sala, 2016)"},"properties":{"noteIndex":0},"schema":"https://github.com/citation-style-language/schema/raw/master/csl-citation.json"}</w:instrText>
      </w:r>
      <w:r w:rsidRPr="00F21E9C">
        <w:rPr>
          <w:rFonts w:ascii="Tahoma" w:eastAsia="Times" w:hAnsi="Tahoma" w:cs="Tahoma"/>
          <w:i/>
          <w:iCs/>
          <w:sz w:val="24"/>
          <w:szCs w:val="24"/>
        </w:rPr>
        <w:fldChar w:fldCharType="separate"/>
      </w:r>
      <w:r w:rsidRPr="00C9773A">
        <w:rPr>
          <w:rFonts w:ascii="Tahoma" w:eastAsia="Times" w:hAnsi="Tahoma" w:cs="Tahoma"/>
          <w:iCs/>
          <w:noProof/>
          <w:sz w:val="24"/>
          <w:szCs w:val="24"/>
        </w:rPr>
        <w:t xml:space="preserve">(Armírola Garcés </w:t>
      </w:r>
      <w:r w:rsidRPr="00672817">
        <w:rPr>
          <w:rFonts w:ascii="Tahoma" w:eastAsia="Times" w:hAnsi="Tahoma" w:cs="Tahoma"/>
          <w:i/>
          <w:iCs/>
          <w:noProof/>
          <w:sz w:val="24"/>
          <w:szCs w:val="24"/>
        </w:rPr>
        <w:t>et al.</w:t>
      </w:r>
      <w:r w:rsidRPr="00C9773A">
        <w:rPr>
          <w:rFonts w:ascii="Tahoma" w:eastAsia="Times" w:hAnsi="Tahoma" w:cs="Tahoma"/>
          <w:iCs/>
          <w:noProof/>
          <w:sz w:val="24"/>
          <w:szCs w:val="24"/>
        </w:rPr>
        <w:t xml:space="preserve">, 2020; Martínez-Sala &amp; Segarra-Saavedra, 2020; Monserrat-Gauchi </w:t>
      </w:r>
      <w:r w:rsidRPr="00672817">
        <w:rPr>
          <w:rFonts w:ascii="Tahoma" w:eastAsia="Times" w:hAnsi="Tahoma" w:cs="Tahoma"/>
          <w:i/>
          <w:iCs/>
          <w:noProof/>
          <w:sz w:val="24"/>
          <w:szCs w:val="24"/>
        </w:rPr>
        <w:t>et al.</w:t>
      </w:r>
      <w:r w:rsidRPr="00C9773A">
        <w:rPr>
          <w:rFonts w:ascii="Tahoma" w:eastAsia="Times" w:hAnsi="Tahoma" w:cs="Tahoma"/>
          <w:iCs/>
          <w:noProof/>
          <w:sz w:val="24"/>
          <w:szCs w:val="24"/>
        </w:rPr>
        <w:t>, 2017; Monserrat-Gauchi &amp; Martínez-Sala, 2016)</w:t>
      </w:r>
      <w:r w:rsidRPr="00F21E9C">
        <w:rPr>
          <w:rFonts w:ascii="Tahoma" w:eastAsia="Times" w:hAnsi="Tahoma" w:cs="Tahoma"/>
          <w:i/>
          <w:iCs/>
          <w:sz w:val="24"/>
          <w:szCs w:val="24"/>
        </w:rPr>
        <w:fldChar w:fldCharType="end"/>
      </w:r>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Este índice es una manifestación de las relaciones que las marcas establecen con sus </w:t>
      </w:r>
      <w:proofErr w:type="spellStart"/>
      <w:r w:rsidRPr="00F21E9C">
        <w:rPr>
          <w:rFonts w:ascii="Tahoma" w:eastAsia="Times" w:hAnsi="Tahoma" w:cs="Tahoma"/>
          <w:i/>
          <w:iCs/>
          <w:sz w:val="24"/>
          <w:szCs w:val="24"/>
        </w:rPr>
        <w:t>stakeholders</w:t>
      </w:r>
      <w:proofErr w:type="spellEnd"/>
      <w:r w:rsidRPr="00F21E9C">
        <w:rPr>
          <w:rFonts w:ascii="Tahoma" w:eastAsia="Times" w:hAnsi="Tahoma" w:cs="Tahoma"/>
          <w:sz w:val="24"/>
          <w:szCs w:val="24"/>
        </w:rPr>
        <w:t xml:space="preserve"> y la base de sus comunidades virtuales </w:t>
      </w:r>
      <w:r w:rsidRPr="00F21E9C">
        <w:rPr>
          <w:rFonts w:ascii="Tahoma" w:eastAsia="Times" w:hAnsi="Tahoma" w:cs="Tahoma"/>
          <w:i/>
          <w:iCs/>
          <w:sz w:val="24"/>
          <w:szCs w:val="24"/>
        </w:rPr>
        <w:fldChar w:fldCharType="begin" w:fldLock="1"/>
      </w:r>
      <w:r>
        <w:rPr>
          <w:rFonts w:ascii="Tahoma" w:eastAsia="Times" w:hAnsi="Tahoma" w:cs="Tahoma"/>
          <w:i/>
          <w:iCs/>
          <w:sz w:val="24"/>
          <w:szCs w:val="24"/>
        </w:rPr>
        <w:instrText>ADDIN CSL_CITATION {"citationItems":[{"id":"ITEM-1","itemData":{"author":[{"dropping-particle":"","family":"Monserrat-Gauchi","given":"Juan","non-dropping-particle":"","parse-names":false,"suffix":""},{"dropping-particle":"","family":"Quiles-Soler","given":"María-Carmen","non-dropping-particle":"","parse-names":false,"suffix":""},{"dropping-particle":"","family":"Martínez-Sala","given":"Alba-María","non-dropping-particle":"","parse-names":false,"suffix":""}],"container-title":"Prisma Social","id":"ITEM-1","issue":"18","issued":{"date-parts":[["2017"]]},"page":"540-560","title":"La participación ciudadana en la comunicación de las organizaciones. Análisis de las franquicias de salud-belleza, decoración y restauración","type":"article-journal"},"uris":["http://www.mendeley.com/documents/?uuid=bef27ba6-a854-4aad-95f6-7a3f65d50c47"]},{"id":"ITEM-2","itemData":{"ISBN":"978-84-9116-339-8","author":[{"dropping-particle":"","family":"Monserrat-Gauchi","given":"Juan","non-dropping-particle":"","parse-names":false,"suffix":""},{"dropping-particle":"","family":"Martínez-Sala","given":"Alba-María","non-dropping-particle":"","parse-names":false,"suffix":""}],"container-title":"Casos de estudio de Relaciones Públicas. Sociedad conectada: empresas y universidades","editor":[{"dropping-particle":"","family":"Mut","given":"M.","non-dropping-particle":"","parse-names":false,"suffix":""},{"dropping-particle":"","family":"Oliveira","given":"A.","non-dropping-particle":"","parse-names":false,"suffix":""},{"dropping-particle":"","family":"Alberto Pérez","given":"R.","non-dropping-particle":"","parse-names":false,"suffix":""},{"dropping-particle":"","family":"Xifra","given":"J.","non-dropping-particle":"","parse-names":false,"suffix":""}],"id":"ITEM-2","issued":{"date-parts":[["2016"]]},"page":"59-85","publisher":"Editorial UOC. Colección DIRCOM","publisher-place":"Barcelona","title":"Cambio de paradigma en la interacción de las empresas con sus públicos. La generación de contenidos a través de Facebook","type":"chapter"},"uris":["http://www.mendeley.com/documents/?uuid=27ae2725-d4d0-49d2-b856-67d0b1de2f5d"]}],"mendeley":{"formattedCitation":"(Monserrat-Gauchi et al., 2017; Monserrat-Gauchi &amp; Martínez-Sala, 2016)","plainTextFormattedCitation":"(Monserrat-Gauchi et al., 2017; Monserrat-Gauchi &amp; Martínez-Sala, 2016)","previouslyFormattedCitation":"(Monserrat-Gauchi et al., 2017; Monserrat-Gauchi &amp; Martínez-Sala, 2016)"},"properties":{"noteIndex":0},"schema":"https://github.com/citation-style-language/schema/raw/master/csl-citation.json"}</w:instrText>
      </w:r>
      <w:r w:rsidRPr="00F21E9C">
        <w:rPr>
          <w:rFonts w:ascii="Tahoma" w:eastAsia="Times" w:hAnsi="Tahoma" w:cs="Tahoma"/>
          <w:i/>
          <w:iCs/>
          <w:sz w:val="24"/>
          <w:szCs w:val="24"/>
        </w:rPr>
        <w:fldChar w:fldCharType="separate"/>
      </w:r>
      <w:r w:rsidRPr="002B5029">
        <w:rPr>
          <w:rFonts w:ascii="Tahoma" w:eastAsia="Times" w:hAnsi="Tahoma" w:cs="Tahoma"/>
          <w:iCs/>
          <w:noProof/>
          <w:sz w:val="24"/>
          <w:szCs w:val="24"/>
        </w:rPr>
        <w:t xml:space="preserve">(Monserrat-Gauchi </w:t>
      </w:r>
      <w:r w:rsidRPr="00672817">
        <w:rPr>
          <w:rFonts w:ascii="Tahoma" w:eastAsia="Times" w:hAnsi="Tahoma" w:cs="Tahoma"/>
          <w:i/>
          <w:iCs/>
          <w:noProof/>
          <w:sz w:val="24"/>
          <w:szCs w:val="24"/>
        </w:rPr>
        <w:t>et al.</w:t>
      </w:r>
      <w:r w:rsidRPr="002B5029">
        <w:rPr>
          <w:rFonts w:ascii="Tahoma" w:eastAsia="Times" w:hAnsi="Tahoma" w:cs="Tahoma"/>
          <w:iCs/>
          <w:noProof/>
          <w:sz w:val="24"/>
          <w:szCs w:val="24"/>
        </w:rPr>
        <w:t>, 2017; Monserrat-Gauchi &amp; Martínez-Sala, 2016)</w:t>
      </w:r>
      <w:r w:rsidRPr="00F21E9C">
        <w:rPr>
          <w:rFonts w:ascii="Tahoma" w:eastAsia="Times" w:hAnsi="Tahoma" w:cs="Tahoma"/>
          <w:i/>
          <w:iCs/>
          <w:sz w:val="24"/>
          <w:szCs w:val="24"/>
        </w:rPr>
        <w:fldChar w:fldCharType="end"/>
      </w:r>
      <w:r w:rsidRPr="00F21E9C">
        <w:rPr>
          <w:rFonts w:ascii="Tahoma" w:eastAsia="Times" w:hAnsi="Tahoma" w:cs="Tahoma"/>
          <w:i/>
          <w:iCs/>
          <w:sz w:val="24"/>
          <w:szCs w:val="24"/>
        </w:rPr>
        <w:t>.</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A este respecto, las plataformas de distribución de contenidos audiovisuales no son una excepción ya que las redes sociales se han convertido en referentes de acceso a este tipo de contenidos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{"citationItems":[{"id":"ITEM-1","itemData":{"DOI":"10.4185/RLCS-2017-1187","abstract":"ES] Introducción: Los teléfonos inteligentes son los máximos exponentes de la era de la movilidad y de la conectividad tecnológica. En este artículo investigamos los hábitos de uso y consumo de audiovisuales en éstos dentro del target universitario. Metodología: De corte cuantitativo, se ha diseñado un cuestionario específico que fue distribuido en entrevistas cara a cara apoyándonos en un T-CAPI (Tablet and Computer Assisted Personal Interview) que constaba de 36 preguntas-ítems. Resultados y discusión: Se especifican las principales diferencias en el consumo de vídeo en las redes 3G y 4G en la muestra analizada, consolidándose la tendencia hacia consumos más ávidos en redes más potentes y rápidas así como un crecimiento en el uso del Smartphone en las actividades en second screen.","author":[{"dropping-particle":"","family":"Ramos Méndez","given":"D.","non-dropping-particle":"","parse-names":false,"suffix":""},{"dropping-particle":"","family":"Ortega-Mohedano","given":"F.","non-dropping-particle":"","parse-names":false,"suffix":""}],"container-title":"Revista Latina de Comunicacion Social","id":"ITEM-1","issued":{"date-parts":[["2017"]]},"page":"704-718","title":"La revolución en los hábitos de uso y consumo de vídeo en teléfonos inteligentes entre usuarios Millenials, la encrucijada revelada","type":"article-journal","volume":"72"},"uris":["http://www.mendeley.com/documents/?uuid=f4a91d14-dc40-407f-a9d5-ef278f64cfa0"]},{"id":"ITEM-2","itemData":{"DOI":"10.3145/epi.2018.nov.12","ISBN":"0000000310","ISSN":"1386-6710","abstract":"Resumen: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Información","id":"ITEM-2","issue":"6","issued":{"date-parts":[["2018"]]},"page":"1292","title":"La estrategia de engagement de Netflix España en Twitter","type":"article-journal","volume":"27"},"uris":["http://www.mendeley.com/documents/?uuid=8dcc95d0-fef3-455b-ba0c-5a9c17ea0c53"]},{"id":"ITEM-3","itemData":{"abstract":"La revolución digital y la llegada de Internet han configurado un nuevo escenario de recepción de la ficción televisiva, favoreciendo la aparición de un consumidor más activo (prosumer), que elige entre una amplia oferta de entretenimiento. Estos hechos han incidido en la producción audiovisual, que ha empezado a ofrecer narraciones transmedia para responder mejor a las demandas de estos espectadores. En este artículo repasaremos en qué consisten estas narraciones, sus características principales y estableceremos un intento de categorización de las extensiones transmedia empleadas por las series, atendiendo a algunos de los ejemplos más representativos de la televisión actual.","author":[{"dropping-particle":"","family":"Bellón Sánchez de la Blanca","given":"Teresa","non-dropping-particle":"","parse-names":false,"suffix":""}],"container-title":"Revista Comunicación","id":"ITEM-3","issue":"10","issued":{"date-parts":[["2012"]]},"page":"17-31","title":"Nuevos modelos narrativos. Ficción televisiva y transmediación","type":"article-journal","volume":"1"},"uris":["http://www.mendeley.com/documents/?uuid=7f2f2638-97ca-4580-be89-cd0334b01d2c"]},{"id":"ITEM-4","itemData":{"DOI":"10.4185/RLCS-2018-1242","ISSN":"11385820","abstract":"Introduction.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Social","id":"ITEM-4","issue":"73","issued":{"date-parts":[["2018"]]},"page":"1-18","title":"Fandom televisivo y construcción de identidad. Análisis de los comentarios de las fans españolas y los community managers","type":"article-journal","volume":"2018"},"uris":["http://www.mendeley.com/documents/?uuid=e101c1c0-c2d6-4fe1-9c44-8361d532fc84"]}],"mendeley":{"formattedCitation":"(Bellón Sánchez de la Blanca, 2012; Fernández-Gómez &amp; Martín-Quevedo, 2018b; Lacalle &amp; Castro, 2018; Ramos Méndez &amp; Ortega-Mohedano, 2017)","plainTextFormattedCitation":"(Bellón Sánchez de la Blanca, 2012; Fernández-Gómez &amp; Martín-Quevedo, 2018b; Lacalle &amp; Castro, 2018; Ramos Méndez &amp; Ortega-Mohedano, 2017)","previouslyFormattedCitation":"(Bellón Sánchez de la Blanca, 2012; Fernández-Gómez &amp; Martín-Quevedo, 2018b; Lacalle &amp; Castro, 2018; Ramos Méndez &amp; Ortega-Mohedano,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(Bellón Sánchez de la Blanca, 2012; Fernández-Gómez &amp; Martín-Quevedo, 2018b; Lacalle &amp; Castro, 2018; Ramos Méndez &amp; Ortega-Mohedano,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Bajo el nuevo modelo de televisión, denominado “televisión social”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Social","id":"ITEM-1","issue":"73","issued":{"date-parts":[["2018"]]},"page":"1-18","title":"Fandom televisivo y construcción de identidad. Análisis de los comentarios de las fans españolas y los community managers","type":"article-journal","volume":"2018"},"uris":["http://www.mendeley.com/documents/?uuid=e101c1c0-c2d6-4fe1-9c44-8361d532fc84"]},{"id":"ITEM-2","itemData":{"DOI":"10.3916/C43-2014-08","ISSN":"1134-3478","abstract":"La combinación de redes sociales, segundas pantallas y televisión ha propiciado la aparición de una nueva relación de los espectadores con la televisión en la que los habituales roles del paradigma de la comunicación se han alterado. La televisión social ha dado pie al nacimiento de la audiencia social entendida como una fragmentación de la audiencia real en función de su interactividad en las redes sociales. Este trabajo pretende estudiar los elementos que contribuyen al éxito o fracaso de programas con un mismo formato en relación a la audiencia social. Para ello se han tomado como objeto de estudio los tres talent show que lanzaron las principales cadenas generalistas españolas en septiembre del año 2013. Se ha procedido a la observación del impacto de dichos programas en la red social Twitter empleando una ficha de elaboración propia y se desarrolló un sistema de categorías de análisis y códigos con el fin de recopilar toda la información recogida. Los resultados obtenidos indican que en el éxito de los programas analizados en audiencia social influye la actividad de la cuentas de los presentadores y del jurado. Las conclusiones alcanzadas tras este análisis de la experiencia española pueden servir como modelo de desarrollo de la audiencia social para otros países en los que esta no se encuentre tan extendida.","author":[{"dropping-particle":"","family":"Quintas-Froufe","given":"Natalia","non-dropping-particle":"","parse-names":false,"suffix":""},{"dropping-particle":"","family":"González-Neira","given":"Ana","non-dropping-particle":"","parse-names":false,"suffix":""}],"container-title":"Comunicar","id":"ITEM-2","issue":"43","issued":{"date-parts":[["2014"]]},"page":"83-90","title":"Audiencias activas: participación de la audiencia social en la televisión","type":"article-journal","volume":"XXII"},"uris":["http://www.mendeley.com/documents/?uuid=036d4d9c-5a78-4194-8c77-84168ac0d6ef"]},{"id":"ITEM-3","itemData":{"DOI":"https://doi.org/10.31207/rch.v9i2.172","abstract":"Las cadenas de televisión han visto en el uso de las redes sociales una oportunidad para favorecer la relación con sus audiencias y conocerlas mejor, y esto ha sido objeto de interés de la profesión y la academia. También lo ha sido el uso de Twitter como parte de su estrategia de comunicación. El desarrollo de los servicios audiovisuales bajo demanda, que alteran los patrones de consumo tradicional, sugiere un marco diferente en estudio del uso de las redes sociales, Twitter en particular. El objetivo de este estudio es el análisis del discurso que mantiene Netflix en la red social Twitter. Nos preguntamos cómo se relaciona la marca con los consumidores fuera de su canal propio –su aplicación, su plataforma-. Es decir, qué tipo de conversaciones mantiene en un espacio público, si lo hace; en qué se centran esas conversaciones y cuál es el peso de los contenidos de su catálogo en ellas. Para ello, combinaremos la creación de un marco teórico para la comprensión del uso de Twitter en un servicio de video bajo demanda con el estudio del caso de Netflix España centrándonos en un mes concreto al año siguiente de su lanzamiento. El objetivo final consiste en extraer tendencias que apunten a prácticas paradigmáticas para el mantenimiento de una relación de engagement a través de Twitter en un servicio de video bajo demanda.","author":[{"dropping-particle":"","family":"Herrero Subías","given":"Mónica","non-dropping-particle":"","parse-names":false,"suffix":""},{"dropping-particle":"","family":"Urgellés Molina","given":"Alicia","non-dropping-particle":"","parse-names":false,"suffix":""}],"container-title":"Revista Comhumanitas","id":"ITEM-3","issue":"2","issued":{"date-parts":[["2018"]]},"page":"175-191","title":"Generación de engagement con un servicio de vídeo bajo demanda en Twitter. El caso de Netflix España","type":"article-journal","volume":"9"},"uris":["http://www.mendeley.com/documents/?uuid=9b5c7665-b171-429d-9318-630b5e5a11dd"]}],"mendeley":{"formattedCitation":"(Herrero Subías &amp; Urgellés Molina, 2018; Lacalle &amp; Castro, 2018; Quintas-Froufe &amp; González-Neira, 2014)","plainTextFormattedCitation":"(Herrero Subías &amp; Urgellés Molina, 2018; Lacalle &amp; Castro, 2018; Quintas-Froufe &amp; González-Neira, 2014)","previouslyFormattedCitation":"(Herrero Subías &amp; Urgellés Molina, 2018; Lacalle &amp; Castro, 2018; Quintas-Froufe &amp; González-Neira, 2014)"},"properties":{"noteIndex":0},"schema":"https://github.com/citation-style-language/schema/raw/master/csl-citation.json"}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(Herrero Subías &amp; Urgellés Molina, 2018; Lacalle &amp; Castro, 2018; Quintas-Froufe &amp; González-Neira, 2014)</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por su carácter participativo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{"citationItems":[{"id":"ITEM-1","itemData":{"DOI":"10.1177/1527476417728376","ISSN":"15528316","abstract":"In the current participatory television environment, social media serves both a social backchannel for interactions between audience members and a direct line of communication between audiences and production. Because audience activity on social media becomes part of the media brand, it is a priority for the industry to achieve some level of control/influence on that activity. In this article, I discuss writers’ room Twitter accounts as a space used to model and reinforce fan behavior that serves industry interests, arguing that these accounts serve industry needs through the behaviors they promote and recognize. Through analysis of three writers’ room Twitter accounts—for Jane the Virgin, Faking It, and Orange Is the New Black—I show how this process works, as well as the ways in which a show’s individual industrial context shapes the type of fan that is hailed.","author":[{"dropping-particle":"","family":"Navar-Gill","given":"Annemarie","non-dropping-particle":"","parse-names":false,"suffix":""}],"container-title":"Television and New Media","id":"ITEM-1","issue":"5","issued":{"date-parts":[["2018"]]},"page":"415-430","title":"From Strategic Retweets to Group Hangs: Writers’ Room Twitter Accounts and the Productive Ecosystem of TV Social Media Fans","type":"article-journal","volume":"19"},"uris":["http://www.mendeley.com/documents/?uuid=e15ca9b6-af23-4d2a-9b67-7f33aabc63b5"]},{"id":"ITEM-2","itemData":{"author":[{"dropping-particle":"","family":"Jenkins","given":"H.","non-dropping-particle":"","parse-names":false,"suffix":""}],"id":"ITEM-2","issued":{"date-parts":[["2010"]]},"publisher":"Paidós","publisher-place":"Madrid","title":"Piratas de textos. Fans, cultura participativa y televisión","type":"book"},"uris":["http://www.mendeley.com/documents/?uuid=fbf34eba-37b9-46f0-acfe-d9d6b765dcee"]}],"mendeley":{"formattedCitation":"(Jenkins, 2010; Navar-Gill, 2018)","plainTextFormattedCitation":"(Jenkins, 2010; Navar-Gill, 2018)","previouslyFormattedCitation":"(Jenkins, 2010; Navar-Gill, 2018)"},"properties":{"noteIndex":0},"schema":"https://github.com/citation-style-language/schema/raw/master/csl-citation.json"}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(Jenkins, 2010; Navar-Gill,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estos canales han adquirido un papel fundamental en las estrategias de </w:t>
      </w:r>
      <w:r w:rsidRPr="00F21E9C">
        <w:rPr>
          <w:rFonts w:ascii="Tahoma" w:eastAsia="Times" w:hAnsi="Tahoma" w:cs="Tahoma"/>
          <w:i/>
          <w:iCs/>
          <w:sz w:val="24"/>
          <w:szCs w:val="24"/>
        </w:rPr>
        <w:t xml:space="preserve">marketing </w:t>
      </w:r>
      <w:r w:rsidRPr="00F21E9C">
        <w:rPr>
          <w:rFonts w:ascii="Tahoma" w:eastAsia="Times" w:hAnsi="Tahoma" w:cs="Tahoma"/>
          <w:sz w:val="24"/>
          <w:szCs w:val="24"/>
        </w:rPr>
        <w:t xml:space="preserve">y comunicación de las compañías de este sector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{"citationItems":[{"id":"ITEM-1","itemData":{"DOI":"10.1177/1527476417728376","ISSN":"15528316","abstract":"In the current participatory television environment, social media serves both a social backchannel for interactions between audience members and a direct line of communication between audiences and production. Because audience activity on social media becomes part of the media brand, it is a priority for the industry to achieve some level of control/influence on that activity. In this article, I discuss writers’ room Twitter accounts as a space used to model and reinforce fan behavior that serves industry interests, arguing that these accounts serve industry needs through the behaviors they promote and recognize. Through analysis of three writers’ room Twitter accounts—for Jane the Virgin, Faking It, and Orange Is the New Black—I show how this process works, as well as the ways in which a show’s individual industrial context shapes the type of fan that is hailed.","author":[{"dropping-particle":"","family":"Navar-Gill","given":"Annemarie","non-dropping-particle":"","parse-names":false,"suffix":""}],"container-title":"Television and New Media","id":"ITEM-1","issue":"5","issued":{"date-parts":[["2018"]]},"page":"415-430","title":"From Strategic Retweets to Group Hangs: Writers’ Room Twitter Accounts and the Productive Ecosystem of TV Social Media Fans","type":"article-journal","volume":"19"},"uris":["http://www.mendeley.com/documents/?uuid=e15ca9b6-af23-4d2a-9b67-7f33aabc63b5"]},{"id":"ITEM-2","itemData":{"DOI":"10.3145/epi.2018.nov.12","ISBN":"0000000310","ISSN":"1386-6710","abstract":"Resumen: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Información","id":"ITEM-2","issue":"6","issued":{"date-parts":[["2018"]]},"page":"1292","title":"La estrategia de engagement de Netflix España en Twitter","type":"article-journal","volume":"27"},"uris":["http://www.mendeley.com/documents/?uuid=8dcc95d0-fef3-455b-ba0c-5a9c17ea0c53"]},{"id":"ITEM-3","itemData":{"DOI":"10.1080/16522354.2018.1481711","ISSN":"16522354","abstract":"The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Studies","id":"ITEM-3","issue":"2","issued":{"date-parts":[["2018"]]},"page":"127-146","publisher":"Routledge","title":"Connecting with audiences in new markets: Netflix´s Twitter strategy in Spain","type":"article-journal","volume":"15"},"uris":["http://www.mendeley.com/documents/?uuid=fc5dea6f-1186-46f4-b852-8cb84dbc140d"]},{"id":"ITEM-4","itemData":{"ISSN":"1576-3420","abstract":"Esta investigación cuenta con la financiación de la Fundación CEIBA, a través del programa Bolívar Gana con Ciencia. El artículo forma parte de los proyectos de Innovación de la Universidad Complutense de Madrid \"Universidad y Sociedad: comunicación e integración en empresas e instituciones y organizaciones no lucrativas\", con números de referencia Nº ref.","author":[{"dropping-particle":"","family":"Armírola Garcés","given":"Ledy Paola","non-dropping-particle":"","parse-names":false,"suffix":""},{"dropping-particle":"","family":"García Nieto","given":"María Teresa","non-dropping-particle":"","parse-names":false,"suffix":""},{"dropping-particle":"","family":"Romero González","given":"Gina Claudette","non-dropping-particle":"","parse-names":false,"suffix":""}],"container-title":"Revista de Comunicación de la SEECI","id":"ITEM-4","issue":"52","issued":{"date-parts":[["2020"]]},"page":"149-169","title":"La comunicación digital en las micro y pequeñas empresas: El caso del sector cultural del departamento colombiano de Bolívar","type":"article-journal"},"uris":["http://www.mendeley.com/documents/?uuid=c6532475-dd3c-4371-83ad-81206fe0ed6f"]}],"mendeley":{"formattedCitation":"(Armírola Garcés et al., 2020; Fernández-Gómez &amp; Martín-Quevedo, 2018b, 2018a; Navar-Gill, 2018)","plainTextFormattedCitation":"(Armírola Garcés et al., 2020; Fernández-Gómez &amp; Martín-Quevedo, 2018b, 2018a; Navar-Gill, 2018)","previouslyFormattedCitation":"(Armírola Garcés et al., 2020; Fernández-Gómez &amp; Martín-Quevedo, 2018b, 2018a; Navar-Gill, 2018)"},"properties":{"noteIndex":0},"schema":"https://github.com/citation-style-language/schema/raw/master/csl-citation.json"}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 xml:space="preserve">(Armírola Garcés </w:t>
      </w:r>
      <w:r w:rsidRPr="00672817">
        <w:rPr>
          <w:rFonts w:ascii="Tahoma" w:eastAsia="Times" w:hAnsi="Tahoma" w:cs="Tahoma"/>
          <w:i/>
          <w:iCs/>
          <w:noProof/>
          <w:sz w:val="24"/>
          <w:szCs w:val="24"/>
        </w:rPr>
        <w:t>et al.</w:t>
      </w:r>
      <w:r w:rsidRPr="00F21E9C">
        <w:rPr>
          <w:rFonts w:ascii="Tahoma" w:eastAsia="Times" w:hAnsi="Tahoma" w:cs="Tahoma"/>
          <w:noProof/>
          <w:sz w:val="24"/>
          <w:szCs w:val="24"/>
        </w:rPr>
        <w:t>, 2020; Fernández-Gómez &amp; Martín-Quevedo, 2018b, 2018a; Navar-Gill,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siendo un objetivo prioritario lograr un alto índice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i/>
          <w:iCs/>
          <w:sz w:val="24"/>
          <w:szCs w:val="24"/>
        </w:rPr>
        <w:fldChar w:fldCharType="begin" w:fldLock="1"/>
      </w:r>
      <w:r w:rsidRPr="00F21E9C">
        <w:rPr>
          <w:rFonts w:ascii="Tahoma" w:eastAsia="Times" w:hAnsi="Tahoma" w:cs="Tahoma"/>
          <w:i/>
          <w:iCs/>
          <w:sz w:val="24"/>
          <w:szCs w:val="24"/>
        </w:rPr>
        <w:instrText>ADDIN CSL_CITATION {"citationItems":[{"id":"ITEM-1","itemData":{"DOI":"10.3145/epi.2018.nov.12","ISBN":"0000000310","ISSN":"1386-6710","abstract":"Resumen: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Información","id":"ITEM-1","issue":"6","issued":{"date-parts":[["2018"]]},"page":"1292","title":"La estrategia de engagement de Netflix España en Twitter","type":"article-journal","volume":"27"},"uris":["http://www.mendeley.com/documents/?uuid=8dcc95d0-fef3-455b-ba0c-5a9c17ea0c53"]},{"id":"ITEM-2","itemData":{"DOI":"10.1080/16522354.2018.1481711","ISSN":"16522354","abstract":"The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Studies","id":"ITEM-2","issue":"2","issued":{"date-parts":[["2018"]]},"page":"127-146","publisher":"Routledge","title":"Connecting with audiences in new markets: Netflix´s Twitter strategy in Spain","type":"article-journal","volume":"15"},"uris":["http://www.mendeley.com/documents/?uuid=fc5dea6f-1186-46f4-b852-8cb84dbc140d"]},{"id":"ITEM-3","itemData":{"DOI":"10.3916/C43-2014-08","ISSN":"1134-3478","abstract":"La combinación de redes sociales, segundas pantallas y televisión ha propiciado la aparición de una nueva relación de los espectadores con la televisión en la que los habituales roles del paradigma de la comunicación se han alterado. La televisión social ha dado pie al nacimiento de la audiencia social entendida como una fragmentación de la audiencia real en función de su interactividad en las redes sociales. Este trabajo pretende estudiar los elementos que contribuyen al éxito o fracaso de programas con un mismo formato en relación a la audiencia social. Para ello se han tomado como objeto de estudio los tres talent show que lanzaron las principales cadenas generalistas españolas en septiembre del año 2013. Se ha procedido a la observación del impacto de dichos programas en la red social Twitter empleando una ficha de elaboración propia y se desarrolló un sistema de categorías de análisis y códigos con el fin de recopilar toda la información recogida. Los resultados obtenidos indican que en el éxito de los programas analizados en audiencia social influye la actividad de la cuentas de los presentadores y del jurado. Las conclusiones alcanzadas tras este análisis de la experiencia española pueden servir como modelo de desarrollo de la audiencia social para otros países en los que esta no se encuentre tan extendida.","author":[{"dropping-particle":"","family":"Quintas-Froufe","given":"Natalia","non-dropping-particle":"","parse-names":false,"suffix":""},{"dropping-particle":"","family":"González-Neira","given":"Ana","non-dropping-particle":"","parse-names":false,"suffix":""}],"container-title":"Comunicar","id":"ITEM-3","issue":"43","issued":{"date-parts":[["2014"]]},"page":"83-90","title":"Audiencias activas: participación de la audiencia social en la televisión","type":"article-journal","volume":"XXII"},"uris":["http://www.mendeley.com/documents/?uuid=036d4d9c-5a78-4194-8c77-84168ac0d6ef"]},{"id":"ITEM-4","itemData":{"author":[{"dropping-particle":"","family":"Neira","given":"Elena","non-dropping-particle":"","parse-names":false,"suffix":""}],"container-title":"Anuario AC/E de cultura digital 2018","id":"ITEM-4","issued":{"date-parts":[["2018"]]},"page":"68-79","title":"Impacto del modelo Netflix en el consumo cultural en pantallas: Big Data, susrcripción y long tail","type":"article-journal"},"uris":["http://www.mendeley.com/documents/?uuid=f614dabb-5eb0-4910-84f6-6fb3c19f5add"]}],"mendeley":{"formattedCitation":"(Fernández-Gómez &amp; Martín-Quevedo, 2018b, 2018a; Neira, 2018; Quintas-Froufe &amp; González-Neira, 2014)","plainTextFormattedCitation":"(Fernández-Gómez &amp; Martín-Quevedo, 2018b, 2018a; Neira, 2018; Quintas-Froufe &amp; González-Neira, 2014)","previouslyFormattedCitation":"(Fernández-Gómez &amp; Martín-Quevedo, 2018b, 2018a; Neira, 2018; Quintas-Froufe &amp; González-Neira, 2014)"},"properties":{"noteIndex":0},"schema":"https://github.com/citation-style-language/schema/raw/master/csl-citation.json"}</w:instrText>
      </w:r>
      <w:r w:rsidRPr="00F21E9C">
        <w:rPr>
          <w:rFonts w:ascii="Tahoma" w:eastAsia="Times" w:hAnsi="Tahoma" w:cs="Tahoma"/>
          <w:i/>
          <w:iCs/>
          <w:sz w:val="24"/>
          <w:szCs w:val="24"/>
        </w:rPr>
        <w:fldChar w:fldCharType="separate"/>
      </w:r>
      <w:r w:rsidRPr="00F21E9C">
        <w:rPr>
          <w:rFonts w:ascii="Tahoma" w:eastAsia="Times" w:hAnsi="Tahoma" w:cs="Tahoma"/>
          <w:iCs/>
          <w:noProof/>
          <w:sz w:val="24"/>
          <w:szCs w:val="24"/>
        </w:rPr>
        <w:t>(Fernández-Gómez &amp; Martín-Quevedo, 2018b, 2018a; Neira, 2018; Quintas-Froufe &amp; González-Neira, 2014)</w:t>
      </w:r>
      <w:r w:rsidRPr="00F21E9C">
        <w:rPr>
          <w:rFonts w:ascii="Tahoma" w:eastAsia="Times" w:hAnsi="Tahoma" w:cs="Tahoma"/>
          <w:i/>
          <w:iCs/>
          <w:sz w:val="24"/>
          <w:szCs w:val="24"/>
        </w:rPr>
        <w:fldChar w:fldCharType="end"/>
      </w:r>
      <w:r w:rsidRPr="00F21E9C">
        <w:rPr>
          <w:rFonts w:ascii="Tahoma" w:eastAsia="Times" w:hAnsi="Tahoma" w:cs="Tahoma"/>
          <w:i/>
          <w:iCs/>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En las redes sociales, 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se mide a partir del nivel de interacción logrado, y este se expresa en términos de reacciones o “me gusta” / “no me gusta”, según el canal, “compartir” y “comentar”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author":[{"dropping-particle":"","family":"Martínez-Sala","given":"Alba-María","non-dropping-particle":"","parse-names":false,"suffix":""},{"dropping-particle":"","family":"Segarra-Saavedra","given":"J.","non-dropping-particle":"","parse-names":false,"suffix":""}],"container-title":"Tendencias de la Comunicación para el Turismo","editor":[{"dropping-particle":"","family":"Altamirano-Benítez","given":"V.","non-dropping-particle":"","parse-names":false,"suffix":""},{"dropping-particle":"","family":"Túñez-López","given":"M.","non-dropping-particle":"","parse-names":false,"suffix":""},{"dropping-particle":"","family":"Marín-Gutiérrez","given":"I.","non-dropping-particle":"","parse-names":false,"suffix":""}],"id":"ITEM-1","issued":{"date-parts":[["2020"]]},"page":"149-183","publisher":"Editorial Dykinson","publisher-place":"Madrid","title":"Engagement y disengagement online, factores clave en las estrategias de comunicación turística 2.0.","type":"chapter"},"uris":["http://www.mendeley.com/documents/?uuid=cb7662fc-b6a0-487b-a4b9-4cec3f1b7033"]},{"id":"ITEM-2","itemData":{"DOI":"10.3145/epi.2018.nov.12","ISBN":"0000000310","ISSN":"1386-6710","abstract":"Resumen: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Información","id":"ITEM-2","issue":"6","issued":{"date-parts":[["2018"]]},"page":"1292","title":"La estrategia de engagement de Netflix España en Twitter","type":"article-journal","volume":"27"},"uris":["http://www.mendeley.com/documents/?uuid=8dcc95d0-fef3-455b-ba0c-5a9c17ea0c53"]},{"id":"ITEM-3","itemData":{"DOI":"10.1177/1527476417728376","ISSN":"15528316","abstract":"In the current participatory television environment, social media serves both a social backchannel for interactions between audience members and a direct line of communication between audiences and production. Because audience activity on social media becomes part of the media brand, it is a priority for the industry to achieve some level of control/influence on that activity. In this article, I discuss writers’ room Twitter accounts as a space used to model and reinforce fan behavior that serves industry interests, arguing that these accounts serve industry needs through the behaviors they promote and recognize. Through analysis of three writers’ room Twitter accounts—for Jane the Virgin, Faking It, and Orange Is the New Black—I show how this process works, as well as the ways in which a show’s individual industrial context shapes the type of fan that is hailed.","author":[{"dropping-particle":"","family":"Navar-Gill","given":"Annemarie","non-dropping-particle":"","parse-names":false,"suffix":""}],"container-title":"Television and New Media","id":"ITEM-3","issue":"5","issued":{"date-parts":[["2018"]]},"page":"415-430","title":"From Strategic Retweets to Group Hangs: Writers’ Room Twitter Accounts and the Productive Ecosystem of TV Social Media F</w:instrText>
      </w:r>
      <w:r w:rsidRPr="00F21E9C">
        <w:rPr>
          <w:rFonts w:ascii="Tahoma" w:eastAsia="Times" w:hAnsi="Tahoma" w:cs="Tahoma"/>
          <w:sz w:val="24"/>
          <w:szCs w:val="24"/>
          <w:lang w:val="pt-PT"/>
        </w:rPr>
        <w:instrText>ans","type":"article-journal","volume":"19"},"uris":["http://www.mendeley.com/documents/?uuid=e15ca9b6-af23-4d2a-9b67-7f33aabc63b5"]},{"id":"ITEM-4","itemData":{"DOI":"https://doi.org/10.14201/fjc201817193213","author":[{"dropping-particle":"","family":"Atarama-Rojas","given":"Tomás","non-dropping-particle":"","parse-names":false,"suffix":""},{"dropping-particle":"","family":"Requena Zapata","given":"Selene","non-dropping-particle":"","parse-names":false,"suffix":""}],"container-title":"Fonseca, Journal of Communication","id":"ITEM-4","issue":"17","issued":{"date-parts":[["2018"]]},"page":"193-213","title":"Narrativa Transmedia: Análisis de la participación de la audiencia en la serie 13 reasons why para la aproximación al tema del suicidio","type":"article-journal"},"uris":["http://www.mendeley.com/documents/?uuid=0115c759-f843-44f4-bb6b-80a3328d7359"]}],"mendeley":{"formattedCitation":"(Atarama-Rojas &amp; Requena Zapata, 2018; Fernández-Gómez &amp; Martín-Quevedo, 2018b; Martínez-Sala &amp; Segarra-Saavedra, 2020; Navar-Gill, 2018)","plainTextFormattedCitation":"(Atarama-Rojas &amp; Requena Zapata, 2018; Fernández-Gómez &amp; Martín-Quevedo, 2018b; Martínez-Sala &amp; Segarra-Saavedra, 2020; Navar-Gill, 2018)","previouslyFormattedCitation":"(Atarama-Rojas &amp; Requena Zapata, 2018; Fernández-Gómez &amp; Martín-Quevedo, 2018b; Martínez-Sala &amp; Segarra-Saavedra, 2020; Navar-Gill, 2018)"},"properties":{"noteIndex":0},"schema":"https://github.com/citation-style-language/schema/raw/master/csl-citation.json"}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lang w:val="pt-PT"/>
        </w:rPr>
        <w:t>(Atarama-Rojas &amp; Requena Zapata, 2018; Fernández-Gómez &amp; Martín-Quevedo, 2018b; Martínez-Sala &amp; Segarra-Saavedra, 2020; Navar-Gill, 2018)</w:t>
      </w:r>
      <w:r w:rsidRPr="00F21E9C">
        <w:rPr>
          <w:rFonts w:ascii="Tahoma" w:eastAsia="Times" w:hAnsi="Tahoma" w:cs="Tahoma"/>
          <w:sz w:val="24"/>
          <w:szCs w:val="24"/>
        </w:rPr>
        <w:fldChar w:fldCharType="end"/>
      </w:r>
      <w:r w:rsidRPr="00F21E9C">
        <w:rPr>
          <w:rFonts w:ascii="Tahoma" w:eastAsia="Times" w:hAnsi="Tahoma" w:cs="Tahoma"/>
          <w:sz w:val="24"/>
          <w:szCs w:val="24"/>
          <w:lang w:val="pt-PT"/>
        </w:rPr>
        <w:t xml:space="preserve">. </w:t>
      </w:r>
      <w:r w:rsidRPr="00F21E9C">
        <w:rPr>
          <w:rFonts w:ascii="Tahoma" w:eastAsia="Times" w:hAnsi="Tahoma" w:cs="Tahoma"/>
          <w:sz w:val="24"/>
          <w:szCs w:val="24"/>
        </w:rPr>
        <w:t xml:space="preserve">Las marcas, por lo tanto, necesitan saber cómo potenciar estas formas de interacción mediante el conjunto de variables que gestionan: frecuencia, formato, tipo de contenido, etc. Con este fin se han desarrollado numerosos estudios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ISBN":"978-84-9116-339-8","author":[{"dropping-particle":"","family":"Monserrat-Gauchi","given":"Juan","non-dropping-particle":"","parse-names":false,"suffix":""},{"dropping-particle":"","family":"Martínez-Sala","given":"Alba-María","non-dropping-particle":"","parse-names":false,"suffix":""}],"container-title":"Casos de estudio de Relaciones Públicas. Sociedad conectada: empresas y universidades","editor":[{"dropping-particle":"","family":"Mut","given":"M.","non-dropping-particle":"","parse-names":false,"suffix":""},{"dropping-particle":"","family":"Oliveira","given":"A.","non-dropping-particle":"","parse-names":false,"suffix":""},{"dropping-particle":"","family":"Alberto Pérez","given":"R.","non-dropping-particle":"","parse-names":false,"suffix":""},{"dropping-particle":"","family":"Xifra","given":"J.","non-dropping-particle":"","parse-names":false,"suffix":""}],"id":"ITEM-1","issued":{"date-parts":[["2016"]]},"page":"59-85","publisher":"Editorial UOC. Colección DIRCOM","publisher-place":"Barcelona","title":"Cambio de paradigma en la interacción de las empresas con sus públicos. La generación de contenidos a través de Facebook","type":"chapter"},"uris":["http://www.mendeley.com/documents/?uuid=27ae2725-d4d0-49d2-b856-67d0b1de2f5d"]},{"id":"ITEM-2","itemData":{"author":[{"dropping-particle":"","family":"Monserrat-Gauchi","given":"Juan","non-dropping-particle":"","parse-names":false,"suffix":""},{"dropping-particle":"","family":"Quiles-Soler","given":"María-Carmen","non-dropping-particle":"","parse-names":false,"suffix":""},{"dropping-particle":"","family":"Martínez-Sala","given":"Alba-María","non-dropping-particle":"","parse-names":false,"suffix":""}],"container-title":"Prisma Social","id":"ITEM-2","issue":"18","issued":{"date-parts":[["2017"]]},"page":"540-560","title":"La participación ciudadana en la comunicación de las organizaciones. Análisis de las franquicias de salud-belleza, decoración y restauración","type":"article-journal"},"uris":["http://www.mendeley.com/documents/?uuid=bef27ba6-a854-4aad-95f6-7a3f65d50c47"]},{"id":"ITEM-3","itemData":{"author":[{"dropping-particle":"","family":"Martínez-Sala","given":"Alba-María","non-dropping-particle":"","parse-names":false,"suffix":""},{"dropping-particle":"","family":"Segarra-Saavedra","given":"J.","non-dropping-particle":"","parse-names":false,"suffix":""}],"container-title":"Tendencias de la Comunicación para el Turismo","editor":[{"dropping-particle":"","family":"Altamirano-Benítez","given":"V.","non-dropping-particle":"","parse-names":false,"suffix":""},{"dropping-particle":"","family":"Túñez-López","given":"M.","non-dropping-particle":"","parse-names":false,"suffix":""},{"dropping-particle":"","family":"Marín-Gutiérrez","given":"I.","non-dropping-particle":"","parse-names":false,"suffix":""}],"id":"ITEM-3","issued":{"date-parts":[["2020"]]},"page":"149-183","publisher":"Editorial Dykinson","publisher-place":"Madrid","title":"Engagement y disengagement online, factores clave en las estrategias de comunicación turística 2.0.","type":"chapter"},"uris":["http://www.mendeley.com/documents/?uuid=cb7662fc-b6a0-487b-a4b9-4cec3f1b7033"]},{"id":"ITEM-4","itemData":{"DOI":"10.3145/epi.2018.nov.12","ISBN":"0000000310","ISSN":"1386-6710","abstract":"Resumen: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Información","id":"ITEM-4","issue":"6","issued":{"date-parts":[["2018"]]},"page":"1292","title":"La estrategia de engagement de Netflix España en Twitter","type":"article-journal","volume":"27"},"uris":["http://www.mendeley.com/documents/?uuid=8dcc95d0-fef3-455b-ba0c-5a9c17ea0c53"]},{"id":"ITEM-5","itemData":{"DOI":"10.1080/16522354.2018.1481711","ISSN":"16522354","abstract":"The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Studies","id":"ITEM-5","issue":"2","issued":{"date-parts":[["2018"]]},"page":"127-146","publisher":"Routledge","title":"Connecting with audiences in new markets: Netflix´s Twitter strategy in Spain","type":"article-journal","volume":"15"},"uris":["http://www.mendeley.com/documents/?uuid=fc5dea6f-1186-46f4-b852-8cb84dbc140d"]}],"mendeley":{"formattedCitation":"(Fernández-Gómez &amp; Martín-Quevedo, 2018b, 2018a; Martínez-Sala &amp; Segarra-Saavedra, 2020; Monserrat-Gauchi et al., 2017; Monserrat-Gauchi &amp; Martínez-Sala, 2016)","plainTextFormattedCitation":"(Fernández-Gómez &amp; Martín-Quevedo, 2018b, 2018a; Martínez-Sala &amp; Segarra-Saavedra, 2020; Monserrat-Gauchi et al., 2017; Monserrat-Gauchi &amp; Martínez-Sala, 2016)","previouslyFormattedCitation":"(Fernández-Gómez &amp; Martín-Quevedo, 2018b, 2018a; Martínez-Sala &amp; Segarra-Saavedra, 2020; Monserrat-Gauchi et al., 2017; Monserrat-Gauchi &amp; Martínez-Sala, 2016)"},"properties":{"noteIndex":0},"schema":"https://github.com/citation-style-language/schema/raw/master/csl-citation.json"}</w:instrText>
      </w:r>
      <w:r w:rsidRPr="00F21E9C">
        <w:rPr>
          <w:rFonts w:ascii="Tahoma" w:eastAsia="Times" w:hAnsi="Tahoma" w:cs="Tahoma"/>
          <w:sz w:val="24"/>
          <w:szCs w:val="24"/>
        </w:rPr>
        <w:fldChar w:fldCharType="separate"/>
      </w:r>
      <w:r w:rsidRPr="002B5029">
        <w:rPr>
          <w:rFonts w:ascii="Tahoma" w:eastAsia="Times" w:hAnsi="Tahoma" w:cs="Tahoma"/>
          <w:noProof/>
          <w:sz w:val="24"/>
          <w:szCs w:val="24"/>
        </w:rPr>
        <w:t xml:space="preserve">(Fernández-Gómez &amp; Martín-Quevedo, 2018b, 2018a; Martínez-Sala &amp; Segarra-Saavedra, 2020; Monserrat-Gauchi </w:t>
      </w:r>
      <w:r w:rsidRPr="00672817">
        <w:rPr>
          <w:rFonts w:ascii="Tahoma" w:eastAsia="Times" w:hAnsi="Tahoma" w:cs="Tahoma"/>
          <w:i/>
          <w:noProof/>
          <w:sz w:val="24"/>
          <w:szCs w:val="24"/>
        </w:rPr>
        <w:t>et al.</w:t>
      </w:r>
      <w:r w:rsidRPr="002B5029">
        <w:rPr>
          <w:rFonts w:ascii="Tahoma" w:eastAsia="Times" w:hAnsi="Tahoma" w:cs="Tahoma"/>
          <w:noProof/>
          <w:sz w:val="24"/>
          <w:szCs w:val="24"/>
        </w:rPr>
        <w:t>, 2017; Monserrat-Gauchi &amp; Martínez-Sala, 2016)</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que coinciden en la necesidad de partir de la premisa de que las redes sociales son conversación y que para promoverla se debe crear una comunidad de seguidores o </w:t>
      </w:r>
      <w:r w:rsidRPr="00F21E9C">
        <w:rPr>
          <w:rFonts w:ascii="Tahoma" w:eastAsia="Times" w:hAnsi="Tahoma" w:cs="Tahoma"/>
          <w:i/>
          <w:iCs/>
          <w:sz w:val="24"/>
          <w:szCs w:val="24"/>
        </w:rPr>
        <w:t>fans</w:t>
      </w:r>
      <w:r w:rsidRPr="00F21E9C">
        <w:rPr>
          <w:rFonts w:ascii="Tahoma" w:eastAsia="Times" w:hAnsi="Tahoma" w:cs="Tahoma"/>
          <w:sz w:val="24"/>
          <w:szCs w:val="24"/>
        </w:rPr>
        <w:t xml:space="preserve"> identificados con la marca hasta el punto de querer convertirse en </w:t>
      </w:r>
      <w:proofErr w:type="spellStart"/>
      <w:r w:rsidRPr="00F21E9C">
        <w:rPr>
          <w:rFonts w:ascii="Tahoma" w:eastAsia="Times" w:hAnsi="Tahoma" w:cs="Tahoma"/>
          <w:i/>
          <w:iCs/>
          <w:sz w:val="24"/>
          <w:szCs w:val="24"/>
        </w:rPr>
        <w:t>adprosumers</w:t>
      </w:r>
      <w:proofErr w:type="spellEnd"/>
      <w:r w:rsidRPr="00F21E9C">
        <w:rPr>
          <w:rFonts w:ascii="Tahoma" w:eastAsia="Times" w:hAnsi="Tahoma" w:cs="Tahoma"/>
          <w:sz w:val="24"/>
          <w:szCs w:val="24"/>
        </w:rPr>
        <w:t xml:space="preserve"> de la misma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Información","id":"ITEM-1","issue":"6","issued":{"date-parts":[["2018"]]},"page":"1292","title":"La estrategia de engagement de Netflix España en Twitter","type":"article-journal","volume":"27"},"uris":["http://www.mendeley.com/documents/?uuid=8dcc95d0-fef3-455b-ba0c-5a9c17ea0c53"]},{"id":"ITEM-2","itemData":{"ISSN":"2174-1859","abstract":"El presente trabajo pretende mostrar la importancia que tiene el papel del prosumidor a la hora de desarrollar la narrativa transmedia de las series de ficción en televisión. Las contribuciones de este nuevo tipo de consumidor no pueden ser menospreciadas, se les debe otorgar la importancia que merecen, pues sus creaciones no hacen sino aumentar la visibilidad y el valor de marca de la historia en cuestión. Para la realización de esta investigación se ha llevado a cabo un estudio del caso de la serie de ficción El Ministerio del Tiempo. El fenómeno fan originado a raíz de esta serie ha favorecido la creación de una enorme cantidad de contenido transmedia. Este artículo muestra cómo las aportaciones de los prosumidores son tan importantes como el propio desarrollo oficial de la serie. Hacen que ésta crezca y sea más completa, generando una fidelidad por parte de los espectadores mucho mayor que las series que sólo se preocupan por su desarrollo monomediático. Son un grupo especial de espectadores a los que hay que cuidar y escuchar, pues son los mayores fans de estos productos audiovisuales. Y, además, pueden encumbrar o destruir un proyecto de estas características.","author":[{"dropping-particle":"","family":"Miranda Galbe","given":"Jorge","non-dropping-particle":"","parse-names":false,"suffix":""},{"dropping-particle":"","family":"Figuero Espadas","given":"Javier","non-dropping-particle":"","parse-names":false,"suffix":""}],"container-title":"index.comunicación","id":"ITEM-2","issue":"2","issued":{"date-parts":[["2016"]]},"page":"115-134","title":"El rol del prosumidor en la expansión narrativa transmedia de las historias de ficción en televisión: el caso de ‘El Ministerio del Tiempo’","type":"article-journal","volume":"6"},"uris":["http://www.mendeley.com/documents/?uuid=714843e6-0191-4e28-aa1d-1fda2e66a400"]},{"id":"ITEM-3","itemData":{"author":[{"dropping-particle":"","family":"Monserrat-Gauchi","given":"Juan","non-dropping-particle":"","parse-names":false,"suffix":""},{"dropping-particle":"","family":"Quiles-Soler","given":"María-Carmen","non-dropping-particle":"","parse-names":false,"suffix":""},{"dropping-particle":"","family":"Martínez-Sala","given":"Alba-María","non-dropping-particle":"","parse-names":false,"suffix":""}],"container-title":"Prisma Social","id":"ITEM-3","issue":"18","issued":{"date-parts":[["2017"]]},"page":"540-560","title":"La participación ciudadana en la comunicación de las organizaciones. Análisis de las franquicias de salud-belleza, decoración y restauración","type":"article-journal"},"uris":["http://www.mendeley.com/documents/?uuid=bef27ba6-a854-4aad-95f6-7a3f65d50c47"]},{"id":"ITEM-4","itemData":{"DOI":"10.3916/C43-2014-08","ISSN":"1134-3478","abstract":"La combinación de redes sociales, segundas pantallas y televisión ha propiciado la aparición de una nueva relación de los espectadores con la televisión en la que los habituales roles del paradigma de la comunicación se han alterado. La televisión social ha dado pie al nacimiento de la audiencia social entendida como una fragmentación de la audiencia real en función de su interactividad en las redes sociales. Este trabajo pretende estudiar los elementos que contribuyen al éxito o fracaso de programas con un mismo formato en relación a la audiencia social. Para ello se han tomado como objeto de estudio los tres talent show que lanzaron las principales cadenas generalistas españolas en septiembre del año 2013. Se ha procedido a la observación del impacto de dichos programas en la red social Twitter empleando una ficha de elaboración propia y se desarrolló un sistema de categorías de análisis y códigos con el fin de recopilar toda la información recogida. Los resultados obtenidos indican que en el éxito de los programas analizados en audiencia social influye la actividad de la cuentas de los presentadores y del jurado. Las conclusiones alcanzadas tras este análisis de la experiencia española pueden servir como modelo de desarrollo de la audiencia social para otros países en los que esta no se encuentre tan extendida.","author":[{"dropping-particle":"","family":"Quintas-Froufe","given":"Natalia","non-dropping-particle":"","parse-names":false,"suffix":""},{"dropping-particle":"","family":"González-Neira","given":"Ana","non-dropping-particle":"","parse-names":false,"suffix":""}],"container-title":"Comunicar","id":"ITEM-4","issue":"43","issued":{"date-parts":[["2014"]]},"page":"83-90","title":"Audiencias activas: participación de la audiencia social en la televisión","type":"article-journal","volume":"XXII"},"uris":["http://www.mendeley.com/documents/?uuid=036d4d9c-5a78-4194-8c77-84168ac0d6ef"]}],"mendeley":{"formattedCitation":"(Fernández-Gómez &amp; Martín-Quevedo, 2018b; Miranda Galbe &amp; Figuero Espadas, 2016; Monserrat-Gauchi et al., 2017; Quintas-Froufe &amp; González-Neira, 2014)","plainTextFormattedCitation":"(Fernández-Gómez &amp; Martín-Quevedo, 2018b; Miranda Galbe &amp; Figuero Espadas, 2016; Monserrat-Gauchi et al., 2017; Quintas-Froufe &amp; González-Neira, 2014)","previouslyFormattedCitation":"(Fernández-Gómez &amp; Martín-Quevedo, 2018b; Miranda Galbe &amp; Figuero Espadas, 2016; Monserrat-Gauchi et al., 2017; Quintas-Froufe &amp; González-Neira, 2014)"},"properties":{"noteIndex":0},"schema":"https://github.com/citation-style-language/schema/raw/master/csl-citation.json"}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 xml:space="preserve">(Fernández-Gómez &amp; Martín-Quevedo, 2018b; Miranda Galbe &amp; Figuero Espadas, 2016; Monserrat-Gauchi </w:t>
      </w:r>
      <w:r w:rsidRPr="00672817">
        <w:rPr>
          <w:rFonts w:ascii="Tahoma" w:eastAsia="Times" w:hAnsi="Tahoma" w:cs="Tahoma"/>
          <w:i/>
          <w:iCs/>
          <w:noProof/>
          <w:sz w:val="24"/>
          <w:szCs w:val="24"/>
        </w:rPr>
        <w:t>et al.</w:t>
      </w:r>
      <w:r w:rsidRPr="00F21E9C">
        <w:rPr>
          <w:rFonts w:ascii="Tahoma" w:eastAsia="Times" w:hAnsi="Tahoma" w:cs="Tahoma"/>
          <w:noProof/>
          <w:sz w:val="24"/>
          <w:szCs w:val="24"/>
        </w:rPr>
        <w:t>, 2017; Quintas-Froufe &amp; González-Neira, 2014)</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La creación de esa comunidad supone el contexto idóneo para desarrollar su estrategia de comunicación a partir del establecimiento de relaciones con sus seguidores o </w:t>
      </w:r>
      <w:r w:rsidRPr="00F21E9C">
        <w:rPr>
          <w:rFonts w:ascii="Tahoma" w:eastAsia="Times" w:hAnsi="Tahoma" w:cs="Tahoma"/>
          <w:i/>
          <w:iCs/>
          <w:sz w:val="24"/>
          <w:szCs w:val="24"/>
        </w:rPr>
        <w:t>fans</w:t>
      </w:r>
      <w:r w:rsidRPr="00F21E9C">
        <w:rPr>
          <w:rFonts w:ascii="Tahoma" w:eastAsia="Times" w:hAnsi="Tahoma" w:cs="Tahoma"/>
          <w:sz w:val="24"/>
          <w:szCs w:val="24"/>
        </w:rPr>
        <w:t xml:space="preserve">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{"citationItems":[{"id":"ITEM-1","itemData":{"DOI":"10.6035/2174-0992.2019.18.11","abstract":"Brands have been able to adapt to each specific reality throughout their historical evolution. Its identity, symbolic and intangible, has taken prominence in the face of products and their purely functional benefits. The arrival of the XXIst century carries a series of very profound disruptive changes: technological democratization, hyperconnected global reality, liquid society, microsegmentation, etc. This fact becomes a clear paradigm shift that empowers both users and brands, placing them in a peer relationship where the digital environment conditions the main communication relationships. Brands advance in the professionalization of their strategic and integral management process, offering relevant content that helps them create unique experiences through a powerful engagement with the user. Netflix is ​​one of the brands that has gained the most global notoriety in recent years as a result of its strategic policy, business volume, communication policy and content offer. This question validates the pertinence of this research focused on analyzing, through a prior theoretical development of the discipline and its subsequent adaptation to a case study, the main elements that shape the policy of strategic brand management carried out for this platform of entertainment in streaming. Considering the nature of the study and, once analyzed the main results extracted, we observe how the contents play an absolutely essential role in the overall and strategic management policy of the Netflix brand. The protagonism of the contents in the construction of the brand is transversal and goes from the very concept of business to the implementation of the strategy through its main advertising and promotional communication actions.","author":[{"dropping-particle":"","family":"Mayorga Escalada","given":"Santiago","non-dropping-particle":"","parse-names":false,"suffix":""}],"container-title":"adComunica. Revista Científica de Estrategias, Tendencias e Innovación en Comunicación","id":"ITEM-1","issue":"18","issued":{"date-parts":[["2019"]]},"page":"219-244","title":"Netflix, estrategia y gestión de marca en torno a la relevancia de los contenidos","type":"article-journal"},"uris":["http://www.mendeley.com/documents/?uuid=f817ce57-2809-41c3-83e5-4e0f1f60f89c"]},{"id":"ITEM-2","itemData":{"ISBN":"978-84-9116-339-8","author":[{"dropping-particle":"","family":"Monserrat-Gauchi","given":"Juan","non-dropping-particle":"","parse-names":false,"suffix":""},{"dropping-particle":"","family":"Martínez-Sala","given":"Alba-María","non-dropping-particle":"","parse-names":false,"suffix":""}],"container-title":"Casos de estudio de Relaciones Públicas. Sociedad conectada: empresas y universidades","editor":[{"dropping-particle":"","family":"Mut","given":"M.","non-dropping-particle":"","parse-names":false,"suffix":""},{"dropping-particle":"","family":"Oliveira","given":"A.","non-dropping-particle":"","parse-names":false,"suffix":""},{"dropping-particle":"","family":"Alberto Pérez","given":"R.","non-dropping-particle":"","parse-names":false,"suffix":""},{"dropping-particle":"","family":"Xifra","given":"J.","non-dropping-particle":"","parse-names":false,"suffix":""}],"id":"ITEM-2","issued":{"date-parts":[["2016"]]},"page":"59-85","publisher":"Editorial UOC. Colección DIRCOM","publisher-place":"Barcelona","title":"Cambio de paradigma en la interacción de las empresas con sus públicos. La generación de contenidos a través de Facebook","type":"chapter"},"uris":["http://www.mendeley.com/documents/?uuid=27ae2725-d4d0-49d2-b856-67d0b1de2f5d"]},{"id":"ITEM-3","itemData":{"ISSN":"1576-3420","abstract":"Esta investigación cuenta con la financiación de la Fundación CEIBA, a través del programa Bolívar Gana con Ciencia. El artículo forma parte de los proyectos de Innovación de la Universidad Complutense de Madrid \"Universidad y Sociedad: comunicación e integración en empresas e instituciones y organizaciones no lucrativas\", con números de referencia Nº ref.","author":[{"dropping-particle":"","family":"Armírola Garcés","given":"Ledy Paola","non-dropping-particle":"","parse-names":false,"suffix":""},{"dropping-particle":"","family":"García Nieto","given":"María Teresa","non-dropping-particle":"","parse-names":false,"suffix":""},{"dropping-particle":"","family":"Romero González","given":"Gina Claudette","non-dropping-particle":"","parse-names":false,"suffix":""}],"container-title":"Revista de Comunicación de la SEECI","id":"ITEM-3","issue":"52","issued":{"date-parts":[["2020"]]},"page":"149-169","title":"La comunicación digital en las micro y pequeñas empresas: El caso del sector cultural del departamento colombiano de Bolívar","type":"article-journal"},"uris":["http://www.mendeley.com/documents/?uuid=c6532475-dd3c-4371-83ad-81206fe0ed6f"]}],"mendeley":{"formattedCitation":"(Armírola Garcés et al., 2020; Mayorga Escalada, 2019; Monserrat-Gauchi &amp; Martínez-Sala, 2016)","plainTextFormattedCitation":"(Armírola Garcés et al., 2020; Mayorga Escalada, 2019; Monserrat-Gauchi &amp; Martínez-Sala, 2016)","previouslyFormattedCitation":"(Armírola Garcés et al., 2020; Mayorga Escalada, 2019; Monserrat-Gauchi &amp; Martínez-Sala, 2016)"},"properties":{"noteIndex":0},"schema":"https://github.com/citation-style-language/schema/raw/master/csl-citation.json"}</w:instrText>
      </w:r>
      <w:r w:rsidRPr="00F21E9C">
        <w:rPr>
          <w:rFonts w:ascii="Tahoma" w:eastAsia="Times" w:hAnsi="Tahoma" w:cs="Tahoma"/>
          <w:sz w:val="24"/>
          <w:szCs w:val="24"/>
        </w:rPr>
        <w:fldChar w:fldCharType="separate"/>
      </w:r>
      <w:r w:rsidRPr="002B5029">
        <w:rPr>
          <w:rFonts w:ascii="Tahoma" w:eastAsia="Times" w:hAnsi="Tahoma" w:cs="Tahoma"/>
          <w:noProof/>
          <w:sz w:val="24"/>
          <w:szCs w:val="24"/>
        </w:rPr>
        <w:t xml:space="preserve">(Armírola Garcés </w:t>
      </w:r>
      <w:r w:rsidRPr="00672817">
        <w:rPr>
          <w:rFonts w:ascii="Tahoma" w:eastAsia="Times" w:hAnsi="Tahoma" w:cs="Tahoma"/>
          <w:i/>
          <w:noProof/>
          <w:sz w:val="24"/>
          <w:szCs w:val="24"/>
        </w:rPr>
        <w:t>et al.</w:t>
      </w:r>
      <w:r w:rsidRPr="002B5029">
        <w:rPr>
          <w:rFonts w:ascii="Tahoma" w:eastAsia="Times" w:hAnsi="Tahoma" w:cs="Tahoma"/>
          <w:noProof/>
          <w:sz w:val="24"/>
          <w:szCs w:val="24"/>
        </w:rPr>
        <w:t>, 2020; Mayorga Escalada, 2019; Monserrat-Gauchi &amp; Martínez-Sala, 2016)</w:t>
      </w:r>
      <w:r w:rsidRPr="00F21E9C">
        <w:rPr>
          <w:rFonts w:ascii="Tahoma" w:eastAsia="Times" w:hAnsi="Tahoma" w:cs="Tahoma"/>
          <w:sz w:val="24"/>
          <w:szCs w:val="24"/>
        </w:rPr>
        <w:fldChar w:fldCharType="end"/>
      </w:r>
      <w:r w:rsidRPr="00F21E9C">
        <w:rPr>
          <w:rFonts w:ascii="Tahoma" w:eastAsia="Times" w:hAnsi="Tahoma" w:cs="Tahoma"/>
          <w:sz w:val="24"/>
          <w:szCs w:val="24"/>
        </w:rPr>
        <w:t>.</w:t>
      </w:r>
    </w:p>
    <w:bookmarkEnd w:id="2"/>
    <w:p w:rsidR="00D52EA2" w:rsidRPr="00F21E9C" w:rsidRDefault="00D52EA2" w:rsidP="00740778">
      <w:pPr>
        <w:autoSpaceDE w:val="0"/>
        <w:autoSpaceDN w:val="0"/>
        <w:adjustRightInd w:val="0"/>
        <w:spacing w:after="0"/>
        <w:jc w:val="both"/>
        <w:rPr>
          <w:rFonts w:ascii="Tahoma" w:hAnsi="Tahoma" w:cs="Tahoma"/>
          <w:b/>
          <w:bCs/>
          <w:sz w:val="24"/>
          <w:szCs w:val="24"/>
        </w:rPr>
      </w:pPr>
    </w:p>
    <w:p w:rsidR="00D52EA2" w:rsidRPr="00F21E9C" w:rsidRDefault="00D52EA2" w:rsidP="00740778">
      <w:pPr>
        <w:autoSpaceDE w:val="0"/>
        <w:autoSpaceDN w:val="0"/>
        <w:adjustRightInd w:val="0"/>
        <w:spacing w:after="0"/>
        <w:jc w:val="both"/>
        <w:rPr>
          <w:rFonts w:ascii="Tahoma" w:hAnsi="Tahoma" w:cs="Tahoma"/>
          <w:b/>
          <w:bCs/>
          <w:color w:val="00B050"/>
          <w:sz w:val="24"/>
          <w:szCs w:val="24"/>
        </w:rPr>
      </w:pPr>
      <w:r w:rsidRPr="00F21E9C">
        <w:rPr>
          <w:rFonts w:ascii="Tahoma" w:hAnsi="Tahoma" w:cs="Tahoma"/>
          <w:b/>
          <w:bCs/>
          <w:sz w:val="24"/>
          <w:szCs w:val="24"/>
        </w:rPr>
        <w:t>1.1</w:t>
      </w:r>
      <w:r w:rsidR="008D6457">
        <w:rPr>
          <w:rFonts w:ascii="Tahoma" w:hAnsi="Tahoma" w:cs="Tahoma"/>
          <w:b/>
          <w:bCs/>
          <w:sz w:val="24"/>
          <w:szCs w:val="24"/>
        </w:rPr>
        <w:t>.</w:t>
      </w:r>
      <w:r w:rsidRPr="00F21E9C">
        <w:rPr>
          <w:rFonts w:ascii="Tahoma" w:hAnsi="Tahoma" w:cs="Tahoma"/>
          <w:b/>
          <w:bCs/>
          <w:sz w:val="24"/>
          <w:szCs w:val="24"/>
        </w:rPr>
        <w:t xml:space="preserve"> El </w:t>
      </w:r>
      <w:proofErr w:type="spellStart"/>
      <w:r w:rsidRPr="00F21E9C">
        <w:rPr>
          <w:rFonts w:ascii="Tahoma" w:hAnsi="Tahoma" w:cs="Tahoma"/>
          <w:b/>
          <w:bCs/>
          <w:i/>
          <w:iCs/>
          <w:sz w:val="24"/>
          <w:szCs w:val="24"/>
        </w:rPr>
        <w:t>fandom</w:t>
      </w:r>
      <w:proofErr w:type="spellEnd"/>
      <w:r w:rsidRPr="00F21E9C">
        <w:rPr>
          <w:rFonts w:ascii="Tahoma" w:hAnsi="Tahoma" w:cs="Tahoma"/>
          <w:b/>
          <w:bCs/>
          <w:sz w:val="24"/>
          <w:szCs w:val="24"/>
        </w:rPr>
        <w:t xml:space="preserve"> televisivo al servicio de las marcas </w:t>
      </w:r>
    </w:p>
    <w:p w:rsidR="00D52EA2" w:rsidRPr="00F21E9C" w:rsidRDefault="00D52EA2" w:rsidP="00740778">
      <w:pPr>
        <w:autoSpaceDE w:val="0"/>
        <w:autoSpaceDN w:val="0"/>
        <w:adjustRightInd w:val="0"/>
        <w:spacing w:after="0"/>
        <w:ind w:firstLine="284"/>
        <w:jc w:val="both"/>
        <w:rPr>
          <w:rFonts w:ascii="Tahoma" w:hAnsi="Tahoma" w:cs="Tahoma"/>
          <w:b/>
          <w:bCs/>
          <w:color w:val="FF0000"/>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En el contexto descrito, y en el ámbito de la distribución y difusión de producciones audiovisuales, surge con fuerza la cultura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y, de forma específica, 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por el potencial comunicacional y relacional que ofrece a las organizaciones del sector como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Información","id":"ITEM-1","issue":"6","issued":{"date-parts":[["2017"]]},"page":"1139","title":"Comunidades de fans y ficción televisiva. Estudio de caso: El ministerio del tiempo (TVE)","type":"article-journal","volume":"26"},"uris":["http://www.mendeley.com/documents/?uuid=4d95a773-0bf3-41f2-b03f-94fe0e38dab0"]},{"id":"ITEM-2","itemData":{"DOI":"10.4185/RLCS-2018-1242","ISSN":"11385820","abstract":"Introduction.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Social","id":"ITEM-2","issue":"73","issued":{"date-parts":[["2018"]]},"page":"1-18","title":"Fandom televisivo y construcción de identidad. Análisis de los comentarios de las fans españolas y los community managers","type":"article-journal","volume":"2018"},"uris":["http://www.mendeley.com/documents/?uuid=e101c1c0-c2d6-4fe1-9c44-8361d532fc84"]},{"id":"ITEM-3","itemData":{"author":[{"dropping-particle":"","family":"Martínez-Sala","given":"Alba-María","non-dropping-particle":"","parse-names":false,"suffix":""},{"dropping-particle":"","family":"Prado-Jiménez","given":"Carlos-Eduardo","non-dropping-particle":"","parse-names":false,"suffix":""}],"container-title":"Las nuevas narrativas en el entorno social","editor":[{"dropping-particle":"","family":"Rodríguez Breijo","given":"Vanessa","non-dropping-particle":"","parse-names":false,"suffix":""},{"dropping-particle":"","family":"Trenta","given":"Milena","non-dropping-particle":"","parse-names":false,"suffix":""},{"dropping-particle":"","family":"Toledano Buendía","given":"Samuel","non-dropping-particle":"","parse-names":false,"suffix":""},{"dropping-particle":"","family":"Hernández","given":"Ciro","non-dropping-particle":"","parse-names":false,"suffix":""},{"dropping-particle":"","family":"Ardèvol Abreu","given":"Alberto","non-dropping-particle":"","parse-names":false,"suffix":""},{"dropping-particle":"","family":"Álvarez Nobell","given":"Alejandro","non-dropping-particle":"","parse-names":false,"suffix":""},{"dropping-particle":"","family":"Morales","given":"Lucas","non-dropping-particle":"","parse-names":false,"suffix":""},{"dropping-particle":"","family":"Hidalgo-Marí","given":"Tatiana","non-dropping-particle":"","parse-names":false,"suffix":""},{"dropping-particle":"","family":"Barrientos-Báez","given":"Almudena","non-dropping-particle":"","parse-names":false,"suffix":""}],"id":"ITEM-3","issued":{"date-parts":[["2019"]]},"page":"111-112","publisher":"Sociedad Latina de Comunicación Social","publisher-place":"La Laguna","title":"El papel del fandom televisivo en la estrategia de comunicación digital de Netflix. Análisis de la interacción y engagement online en Twitter","type":"paper-conference"},"uris":["http://www.mendeley.com/documents/?uuid=829fba55-4a56-48af-89e0-bc170ab60e4a"]}],"mendeley":{"formattedCitation":"(Lacalle &amp; Castro, 2018; Martínez-Sala &amp; Prado-Jiménez, 2019; Torregrosa-Carmona &amp; Rodríguez-Gómez, 2017)","plainTextFormattedCitation":"(Lacalle &amp; Castro, 2018; Martínez-Sala &amp; Prado-Jiménez, 2019; Torregrosa-Carmona &amp; Rodríguez-Gómez, 2017)","previouslyFormattedCitation":"(Lacalle &amp; Castro, 2018; Martínez-Sala &amp; Prado-Jiménez, 2019;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0D3DB3">
        <w:rPr>
          <w:rFonts w:ascii="Tahoma" w:eastAsia="Times" w:hAnsi="Tahoma" w:cs="Tahoma"/>
          <w:noProof/>
          <w:sz w:val="24"/>
          <w:szCs w:val="24"/>
        </w:rPr>
        <w:t>(Lacalle &amp; Castro, 2018; Martínez-Sala &amp; Prado-Jiménez, 2019; Torregrosa-Carmona &amp; Rodríguez-Gómez,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La creación de una comunidad a partir del sentimiento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puede contribuir al éxito de sus productos mediante la generación de comentarios, publicaciones, etc., de los</w:t>
      </w:r>
      <w:r w:rsidRPr="00F21E9C">
        <w:rPr>
          <w:rFonts w:ascii="Tahoma" w:eastAsia="Times" w:hAnsi="Tahoma" w:cs="Tahoma"/>
          <w:i/>
          <w:iCs/>
          <w:sz w:val="24"/>
          <w:szCs w:val="24"/>
        </w:rPr>
        <w:t xml:space="preserve"> fans</w:t>
      </w:r>
      <w:r w:rsidRPr="00F21E9C">
        <w:rPr>
          <w:rFonts w:ascii="Tahoma" w:eastAsia="Times" w:hAnsi="Tahoma" w:cs="Tahoma"/>
          <w:sz w:val="24"/>
          <w:szCs w:val="24"/>
        </w:rPr>
        <w:t xml:space="preserve">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Social","id":"ITEM-1","issue":"73","issued":{"date-parts":[["2018"]]},"page":"1-18","title":"Fandom televisivo y construcción de identidad. Análisis de los comentarios de las fans españolas y los community managers","type":"article-journal","volume":"2018"},"uris":["http://www.mendeley.com/documents/?uuid=e101c1c0-c2d6-4fe1-9c44-8361d532fc84"]}],"mendeley":{"formattedCitation":"(Lacalle &amp; Castro, 2018)","plainTextFormattedCitation":"(Lacalle &amp; Castro, 2018)","previouslyFormattedCitation":"(Lacalle &amp; Castro, 2018)"},"properties":{"noteIndex":0},"schema":"https://github.com/citation-style-language/schema/raw/master/csl-citation.json"}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(Lacalle &amp; Castro,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Tal y como señalan Miranda </w:t>
      </w:r>
      <w:proofErr w:type="spellStart"/>
      <w:r w:rsidRPr="00F21E9C">
        <w:rPr>
          <w:rFonts w:ascii="Tahoma" w:eastAsia="Times" w:hAnsi="Tahoma" w:cs="Tahoma"/>
          <w:sz w:val="24"/>
          <w:szCs w:val="24"/>
        </w:rPr>
        <w:t>Galbe</w:t>
      </w:r>
      <w:proofErr w:type="spellEnd"/>
      <w:r w:rsidRPr="00F21E9C">
        <w:rPr>
          <w:rFonts w:ascii="Tahoma" w:eastAsia="Times" w:hAnsi="Tahoma" w:cs="Tahoma"/>
          <w:sz w:val="24"/>
          <w:szCs w:val="24"/>
        </w:rPr>
        <w:t xml:space="preserve"> &amp; </w:t>
      </w:r>
      <w:proofErr w:type="spellStart"/>
      <w:r w:rsidRPr="00F21E9C">
        <w:rPr>
          <w:rFonts w:ascii="Tahoma" w:eastAsia="Times" w:hAnsi="Tahoma" w:cs="Tahoma"/>
          <w:sz w:val="24"/>
          <w:szCs w:val="24"/>
        </w:rPr>
        <w:t>Figuero</w:t>
      </w:r>
      <w:proofErr w:type="spellEnd"/>
      <w:r w:rsidRPr="00F21E9C">
        <w:rPr>
          <w:rFonts w:ascii="Tahoma" w:eastAsia="Times" w:hAnsi="Tahoma" w:cs="Tahoma"/>
          <w:sz w:val="24"/>
          <w:szCs w:val="24"/>
        </w:rPr>
        <w:t xml:space="preserve"> Espadas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{"citationItems":[{"id":"ITEM-1","itemData":{"ISSN":"2174-1859","abstract":"El presente trabajo pretende mostrar la importancia que tiene el papel del prosumidor a la hora de desarrollar la narrativa transmedia de las series de ficción en televisión. Las contribuciones de este nuevo tipo de consumidor no pueden ser menospreciadas, se les debe otorgar la importancia que merecen, pues sus creaciones no hacen sino aumentar la visibilidad y el valor de marca de la historia en cuestión. Para la realización de esta investigación se ha llevado a cabo un estudio del caso de la serie de ficción El Ministerio del Tiempo. El fenómeno fan originado a raíz de esta serie ha favorecido la creación de una enorme cantidad de contenido transmedia. Este artículo muestra cómo las aportaciones de los prosumidores son tan importantes como el propio desarrollo oficial de la serie. Hacen que ésta crezca y sea más completa, generando una fidelidad por parte de los espectadores mucho mayor que las series que sólo se preocupan por su desarrollo monomediático. Son un grupo especial de espectadores a los que hay que cuidar y escuchar, pues son los mayores fans de estos productos audiovisuales. Y, además, pueden encumbrar o destruir un proyecto de estas características.","author":[{"dropping-particle":"","family":"Miranda Galbe","given":"Jorge","non-dropping-particle":"","parse-names":false,"suffix":""},{"dropping-particle":"","family":"Figuero Espadas","given":"Javier","non-dropping-particle":"","parse-names":false,"suffix":""}],"container-title":"index.comunicación","id":"ITEM-1","issue":"2","issued":{"date-parts":[["2016"]]},"page":"115-134","title":"El rol del prosumidor en la expansión narrativa transmedia de las historias de ficción en televisión: el caso de ‘El Ministerio del Tiempo’","type":"article-journal","volume":"6"},"suppress-author":1,"uris":["http://www.mendeley.com/documents/?uuid=714843e6-0191-4e28-aa1d-1fda2e66a400"]}],"mendeley":{"formattedCitation":"(2016)","plainTextFormattedCitation":"(2016)","previouslyFormattedCitation":"(2016)"},"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(2016)</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las aportaciones de los </w:t>
      </w:r>
      <w:proofErr w:type="spellStart"/>
      <w:r w:rsidRPr="00F21E9C">
        <w:rPr>
          <w:rFonts w:ascii="Tahoma" w:eastAsia="Times" w:hAnsi="Tahoma" w:cs="Tahoma"/>
          <w:i/>
          <w:iCs/>
          <w:sz w:val="24"/>
          <w:szCs w:val="24"/>
        </w:rPr>
        <w:t>prosumers</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y</w:t>
      </w:r>
      <w:r w:rsidRPr="00F21E9C">
        <w:rPr>
          <w:rFonts w:ascii="Tahoma" w:eastAsia="Times" w:hAnsi="Tahoma" w:cs="Tahoma"/>
          <w:b/>
          <w:bCs/>
          <w:sz w:val="24"/>
          <w:szCs w:val="24"/>
        </w:rPr>
        <w:t xml:space="preserve"> </w:t>
      </w:r>
      <w:proofErr w:type="spellStart"/>
      <w:r w:rsidRPr="00F21E9C">
        <w:rPr>
          <w:rFonts w:ascii="Tahoma" w:eastAsia="Times" w:hAnsi="Tahoma" w:cs="Tahoma"/>
          <w:i/>
          <w:iCs/>
          <w:sz w:val="24"/>
          <w:szCs w:val="24"/>
        </w:rPr>
        <w:t>adprosumers</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inciden directamente en la captación y fidelización de otros seguidores y, a este respecto se constata que los</w:t>
      </w:r>
      <w:r w:rsidRPr="00F21E9C">
        <w:rPr>
          <w:rFonts w:ascii="Tahoma" w:eastAsia="Times" w:hAnsi="Tahoma" w:cs="Tahoma"/>
          <w:i/>
          <w:iCs/>
          <w:sz w:val="24"/>
          <w:szCs w:val="24"/>
        </w:rPr>
        <w:t xml:space="preserve"> fans</w:t>
      </w:r>
      <w:r w:rsidRPr="00F21E9C">
        <w:rPr>
          <w:rFonts w:ascii="Tahoma" w:eastAsia="Times" w:hAnsi="Tahoma" w:cs="Tahoma"/>
          <w:sz w:val="24"/>
          <w:szCs w:val="24"/>
        </w:rPr>
        <w:t xml:space="preserve"> de las series de televisión, incluso los de otras series, tienen mayor predisposición a adoptar estos roles</w:t>
      </w:r>
      <w:r w:rsidRPr="00F21E9C">
        <w:rPr>
          <w:rFonts w:ascii="Tahoma" w:eastAsia="Times" w:hAnsi="Tahoma" w:cs="Tahoma"/>
          <w:i/>
          <w:iCs/>
          <w:sz w:val="24"/>
          <w:szCs w:val="24"/>
        </w:rPr>
        <w:t xml:space="preserve"> </w:t>
      </w:r>
      <w:r w:rsidRPr="00F21E9C">
        <w:rPr>
          <w:rFonts w:ascii="Tahoma" w:eastAsia="Times" w:hAnsi="Tahoma" w:cs="Tahoma"/>
          <w:i/>
          <w:iCs/>
          <w:sz w:val="24"/>
          <w:szCs w:val="24"/>
        </w:rPr>
        <w:fldChar w:fldCharType="begin" w:fldLock="1"/>
      </w:r>
      <w:r>
        <w:rPr>
          <w:rFonts w:ascii="Tahoma" w:eastAsia="Times" w:hAnsi="Tahoma" w:cs="Tahoma"/>
          <w:i/>
          <w:iCs/>
          <w:sz w:val="24"/>
          <w:szCs w:val="24"/>
        </w:rPr>
        <w:instrText>ADDIN CSL_CITATION {"citationItems":[{"id":"ITEM-1","itemData":{"DOI":"10.3145/epi.2017.nov.13","ISBN":"0000000259835","ISSN":"1386-6710","abstract":"Fan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Información","id":"ITEM-1","issue":"6","issued":{"date-parts":[["2017"]]},"page":"1139","title":"Comunidades de fans y ficción televisiva. Estudio de caso: El ministerio del tiempo (TVE)","type":"article-journal","volume":"26"},"uris":["http://www.mendeley.com/documents/?uuid=4d95a773-0bf3-41f2-b03f-94fe0e38dab0"]},{"id":"ITEM-2","itemData":{"DOI":"10.5209/rev_ciyc.2014.v19.43902","ISSN":"1135-7991","abstract":"El artículo estudia las 10 webseries más populares en Francia en enero de 2013, para indagar si las web? series aportan nuevos tipos de relato en relación a las formas breves producidas por las cadenas de tele? visión. Recurriendo a los interpretantes que son “los mundos” televisivos (Jost), se identifican cuatro grandes tipos de webseries: las webseries abiertamente ficcionales, las series ancladas en la vida coti? diana, las que se emparentan con los sketches y, en fin, las series que juegan con la situación de enun? ciación. La serie más vista en Francia, Le Visiteur du futur, es objeto a continuación de un análisis deta? llado, y el autor muestra que entre las series breves de televisión y ciertas webseries se constituye una zona intermedia, una narración en tránsito. En fin, el artículo demuestra que el contexto de difusión –cadena de televisión o emisión en línea en Facebook– modifica la recepción. Palabras","author":[{"dropping-particle":"","family":"Jost","given":"François","non-dropping-particle":"","parse-names":false,"suffix":""}],"container-title":"CIC Cuadernos de Información y Comunicación","id":"ITEM-2","issue":"0","issued":{"date-parts":[["2014"]]},"page":"39-51","title":"Webseries y series de tv: idas y venidas. Narraciones en tránsito","type":"article-journal","volume":"19"},"uris":["http://www.mendeley.com/documents/?uuid=1c612034-4639-418b-91f9-7e05e676a9bb"]}],"mendeley":{"formattedCitation":"(Jost, 2014; Torregrosa-Carmona &amp; Rodríguez-Gómez, 2017)","plainTextFormattedCitation":"(Jost, 2014; Torregrosa-Carmona &amp; Rodríguez-Gómez, 2017)","previouslyFormattedCitation":"(Jost, 2014; Torregrosa-Carmona &amp; Rodríguez-Gómez, 2017)"},"properties":{"noteIndex":0},"schema":"https://github.com/citation-style-language/schema/raw/master/csl-citation.json"}</w:instrText>
      </w:r>
      <w:r w:rsidRPr="00F21E9C">
        <w:rPr>
          <w:rFonts w:ascii="Tahoma" w:eastAsia="Times" w:hAnsi="Tahoma" w:cs="Tahoma"/>
          <w:i/>
          <w:iCs/>
          <w:sz w:val="24"/>
          <w:szCs w:val="24"/>
        </w:rPr>
        <w:fldChar w:fldCharType="separate"/>
      </w:r>
      <w:r w:rsidRPr="00D9442E">
        <w:rPr>
          <w:rFonts w:ascii="Tahoma" w:eastAsia="Times" w:hAnsi="Tahoma" w:cs="Tahoma"/>
          <w:iCs/>
          <w:noProof/>
          <w:sz w:val="24"/>
          <w:szCs w:val="24"/>
        </w:rPr>
        <w:t>(Jost, 2014; Torregrosa-Carmona &amp; Rodríguez-Gómez, 2017)</w:t>
      </w:r>
      <w:r w:rsidRPr="00F21E9C">
        <w:rPr>
          <w:rFonts w:ascii="Tahoma" w:eastAsia="Times" w:hAnsi="Tahoma" w:cs="Tahoma"/>
          <w:i/>
          <w:iCs/>
          <w:sz w:val="24"/>
          <w:szCs w:val="24"/>
        </w:rPr>
        <w:fldChar w:fldCharType="end"/>
      </w:r>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Estos, reunidos en comunidades, cogeneran un saber compartido, convirtiéndose en auténticos líderes de opinión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author":[{"dropping-particle":"","family":"Jenkins","given":"H.","non-dropping-particle":"","parse-names":false,"suffix":""}],"id":"ITEM-1","issued":{"date-parts":[["2010"]]},"publisher":"Paidós","publisher-place":"Madrid","title":"Piratas de textos. Fans, cultura participativa y televisión","type":"book"},"uris":["http://www.mendeley.com/documents/?uuid=fbf34eba-37b9-46f0-acfe-d9d6b765dcee"]}],"mendeley":{"formattedCitation":"(Jenkins, 2010)","plainTextFormattedCitation":"(Jenkins, 2010)","previouslyFormattedCitation":"(Jenkins, 2010)"},"properties":{"noteIndex":0},"schema":"https://github.com/citation-style-language/schema/raw/master/csl-citation.json"}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(Jenkins, 2010)</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El fenómeno</w:t>
      </w:r>
      <w:r w:rsidRPr="00F21E9C">
        <w:rPr>
          <w:rFonts w:ascii="Tahoma" w:eastAsia="Times" w:hAnsi="Tahoma" w:cs="Tahoma"/>
          <w:i/>
          <w:iCs/>
          <w:sz w:val="24"/>
          <w:szCs w:val="24"/>
        </w:rPr>
        <w:t xml:space="preserve"> fan</w:t>
      </w:r>
      <w:r w:rsidRPr="00F21E9C">
        <w:rPr>
          <w:rFonts w:ascii="Tahoma" w:eastAsia="Times" w:hAnsi="Tahoma" w:cs="Tahoma"/>
          <w:sz w:val="24"/>
          <w:szCs w:val="24"/>
        </w:rPr>
        <w:t xml:space="preserve">, 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no es algo reciente</w:t>
      </w:r>
      <w:r>
        <w:rPr>
          <w:rFonts w:ascii="Tahoma" w:eastAsia="Times" w:hAnsi="Tahoma" w:cs="Tahoma"/>
          <w:sz w:val="24"/>
          <w:szCs w:val="24"/>
        </w:rPr>
        <w:t xml:space="preserve"> </w:t>
      </w:r>
      <w:r>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{"citationItems":[{"id":"ITEM-1","itemData":{"abstract":"El presente ensayo analiza las tensiones entre las prácticas epistémicas ancestrales y las prácticas epistémicas tecnocientíficas representadas en los contenidos y las narrativas del animé japonés. A partir del análisis de tres series de animé, se elaboran interpretaciones en torno a dichas tensiones, para trascender el contexto de la animación y llevar las reflexiones al mundo análogo frente a las actuales condiciones de pugna entre las prácticas epistémicas ancestrales latinoamericanas y las prácticas epistémicas tecnocientíficas occidentales. Así, el animé puede ser entendido como un arte expresivo y representativo alternativo a las narrativas occidentales, o como un dispositivo de propaganda tecnocientífica.","author":[{"dropping-particle":"","family":"Acevedo-Merlano","given":"Álvaro","non-dropping-particle":"","parse-names":false,"suffix":""}],"container-title":"Utopía y Praxis Latinoamericana. Revista Internacional de Filosofía y Teoría Social","id":"ITEM-1","issue":"89","issued":{"date-parts":[["2020"]]},"page":"211-226","title":"El animé como lienzo para analizar las tensiones entre prácticas epistémicas ancestrales y tecnocientíficas","type":"article-journal","volume":"25"},"uris":["http://www.mendeley.com/documents/?uuid=08b3f0fa-6a68-41cf-a019-1be3887d82d2"]},{"id":"ITEM-2","itemData":{"ISBN":"9789562362467","ISSN":"0951-4198","author":[{"dropping-particle":"","family":"Álvarez Gandolfi","given":"Federico","non-dropping-particle":"","parse-names":false,"suffix":""}],"container-title":"Perspectivas de la Comunicación","id":"ITEM-2","issue":"2","issued":{"date-parts":[["2016"]]},"page":"31-57","title":"Cibercultura Otaku, un análisis interdiscursivo de identidades fan puestas en escena en grupos de Facebook","type":"article-journal","volume":"9"},"uris":["http://www.mendeley.com/documents/?uuid=6bb35750-ad9f-49c7-8754-35050d65e73e"]}],"mendeley":{"formattedCitation":"(Acevedo-Merlano, 2020; Álvarez Gandolfi, 2016)","plainTextFormattedCitation":"(Acevedo-Merlano, 2020; Álvarez Gandolfi, 2016)","previouslyFormattedCitation":"(Acevedo-Merlano, 2020; Álvarez Gandolfi, 2016)"},"properties":{"noteIndex":0},"schema":"https://github.com/citation-style-language/schema/raw/master/csl-citation.json"}</w:instrText>
      </w:r>
      <w:r>
        <w:rPr>
          <w:rFonts w:ascii="Tahoma" w:eastAsia="Times" w:hAnsi="Tahoma" w:cs="Tahoma"/>
          <w:sz w:val="24"/>
          <w:szCs w:val="24"/>
        </w:rPr>
        <w:fldChar w:fldCharType="separate"/>
      </w:r>
      <w:r w:rsidRPr="00A7572E">
        <w:rPr>
          <w:rFonts w:ascii="Tahoma" w:eastAsia="Times" w:hAnsi="Tahoma" w:cs="Tahoma"/>
          <w:noProof/>
          <w:sz w:val="24"/>
          <w:szCs w:val="24"/>
        </w:rPr>
        <w:t>(Acevedo-Merlano, 2020; Álvarez Gandolfi, 2016)</w:t>
      </w:r>
      <w:r>
        <w:rPr>
          <w:rFonts w:ascii="Tahoma" w:eastAsia="Times" w:hAnsi="Tahoma" w:cs="Tahoma"/>
          <w:sz w:val="24"/>
          <w:szCs w:val="24"/>
        </w:rPr>
        <w:fldChar w:fldCharType="end"/>
      </w:r>
      <w:r w:rsidRPr="00F21E9C">
        <w:rPr>
          <w:rFonts w:ascii="Tahoma" w:eastAsia="Times" w:hAnsi="Tahoma" w:cs="Tahoma"/>
          <w:sz w:val="24"/>
          <w:szCs w:val="24"/>
        </w:rPr>
        <w:t xml:space="preserve"> pero el modelo web 2.0 y, en especial, las redes sociales han multiplicado su visibilidad y alcance al propiciar la creación de espacios virtuales en los que sus integrantes pueden interactuar y relacionarse respecto de los contenidos televisivos como manifestación formal de pertenencia a una comunidad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Social","id":"ITEM-1","issue":"73","issued":{"date-parts":[["2018"]]},"page":"1-18","title":"Fandom televisivo y construcción de identidad. Análisis de los comentarios de las fans españolas y los community managers","type":"article-journal","volume":"2018"},"uris":["http://www.mendeley.com/documents/?uuid=e101c1c0-c2d6-4fe1-9c44-8361d532fc84"]},{"id":"ITEM-2","itemData":{"author":[{"dropping-particle":"","family":"Jenkins","given":"H.","non-dropping-particle":"","parse-names":false,"suffix":""}],"id":"ITEM-2","issued":{"date-parts":[["2010"]]},"publisher":"Paidós","publisher-place":"Madrid","title":"Piratas de textos. Fans, cultura participativa y televisión","type":"book"},"uris":["http://www.mendeley.com/documents/?uuid=fbf34eba-37b9-46f0-acfe-d9d6b765dcee"]}],"mendeley":{"formattedCitation":"(Jenkins, 2010; Lacalle &amp; Castro, 2018)","plainTextFormattedCitation":"(Jenkins, 2010; Lacalle &amp; Castro, 2018)","previouslyFormattedCitation":"(Jenkins, 2010; Lacalle &amp; Castro, 2018)"},"properties":{"noteIndex":0},"schema":"https://github.com/citation-style-language/schema/raw/master/csl-citation.json"}</w:instrText>
      </w:r>
      <w:r w:rsidRPr="00F21E9C">
        <w:rPr>
          <w:rFonts w:ascii="Tahoma" w:eastAsia="Times" w:hAnsi="Tahoma" w:cs="Tahoma"/>
          <w:sz w:val="24"/>
          <w:szCs w:val="24"/>
        </w:rPr>
        <w:fldChar w:fldCharType="separate"/>
      </w:r>
      <w:r w:rsidRPr="00A7572E">
        <w:rPr>
          <w:rFonts w:ascii="Tahoma" w:eastAsia="Times" w:hAnsi="Tahoma" w:cs="Tahoma"/>
          <w:noProof/>
          <w:sz w:val="24"/>
          <w:szCs w:val="24"/>
        </w:rPr>
        <w:t>(Jenkins, 2010; Lacalle &amp; Castro, 2018)</w:t>
      </w:r>
      <w:r w:rsidRPr="00F21E9C">
        <w:rPr>
          <w:rFonts w:ascii="Tahoma" w:eastAsia="Times" w:hAnsi="Tahoma" w:cs="Tahoma"/>
          <w:sz w:val="24"/>
          <w:szCs w:val="24"/>
        </w:rPr>
        <w:fldChar w:fldCharType="end"/>
      </w:r>
      <w:r w:rsidRPr="00F21E9C">
        <w:rPr>
          <w:rFonts w:ascii="Tahoma" w:eastAsia="Times" w:hAnsi="Tahoma" w:cs="Tahoma"/>
          <w:sz w:val="24"/>
          <w:szCs w:val="24"/>
        </w:rPr>
        <w:t>. Los</w:t>
      </w:r>
      <w:r w:rsidRPr="00F21E9C">
        <w:rPr>
          <w:rFonts w:ascii="Tahoma" w:eastAsia="Times" w:hAnsi="Tahoma" w:cs="Tahoma"/>
          <w:i/>
          <w:iCs/>
          <w:sz w:val="24"/>
          <w:szCs w:val="24"/>
        </w:rPr>
        <w:t xml:space="preserve"> fans</w:t>
      </w:r>
      <w:r w:rsidRPr="00F21E9C">
        <w:rPr>
          <w:rFonts w:ascii="Tahoma" w:eastAsia="Times" w:hAnsi="Tahoma" w:cs="Tahoma"/>
          <w:sz w:val="24"/>
          <w:szCs w:val="24"/>
        </w:rPr>
        <w:t xml:space="preserve"> de las series de televisión recurren a </w:t>
      </w:r>
      <w:r>
        <w:rPr>
          <w:rFonts w:ascii="Tahoma" w:eastAsia="Times" w:hAnsi="Tahoma" w:cs="Tahoma"/>
          <w:sz w:val="24"/>
          <w:szCs w:val="24"/>
        </w:rPr>
        <w:t>las</w:t>
      </w:r>
      <w:r w:rsidRPr="00F21E9C">
        <w:rPr>
          <w:rFonts w:ascii="Tahoma" w:eastAsia="Times" w:hAnsi="Tahoma" w:cs="Tahoma"/>
          <w:sz w:val="24"/>
          <w:szCs w:val="24"/>
        </w:rPr>
        <w:t xml:space="preserve"> redes sociales</w:t>
      </w:r>
      <w:r>
        <w:rPr>
          <w:rFonts w:ascii="Tahoma" w:eastAsia="Times" w:hAnsi="Tahoma" w:cs="Tahoma"/>
          <w:sz w:val="24"/>
          <w:szCs w:val="24"/>
        </w:rPr>
        <w:t xml:space="preserve"> </w:t>
      </w:r>
      <w:r w:rsidRPr="00F21E9C">
        <w:rPr>
          <w:rFonts w:ascii="Tahoma" w:eastAsia="Times" w:hAnsi="Tahoma" w:cs="Tahoma"/>
          <w:sz w:val="24"/>
          <w:szCs w:val="24"/>
        </w:rPr>
        <w:t xml:space="preserve">para mantenerse informados y en contacto permanente, creando comunidades </w:t>
      </w:r>
      <w:r w:rsidRPr="00F21E9C">
        <w:rPr>
          <w:rFonts w:ascii="Tahoma" w:eastAsia="Times" w:hAnsi="Tahoma" w:cs="Tahoma"/>
          <w:i/>
          <w:iCs/>
          <w:sz w:val="24"/>
          <w:szCs w:val="24"/>
        </w:rPr>
        <w:t>online</w:t>
      </w:r>
      <w:r>
        <w:rPr>
          <w:rFonts w:ascii="Tahoma" w:eastAsia="Times" w:hAnsi="Tahoma" w:cs="Tahoma"/>
          <w:i/>
          <w:iCs/>
          <w:sz w:val="24"/>
          <w:szCs w:val="24"/>
        </w:rPr>
        <w:t>,</w:t>
      </w:r>
      <w:r w:rsidRPr="00F21E9C">
        <w:rPr>
          <w:rFonts w:ascii="Tahoma" w:eastAsia="Times" w:hAnsi="Tahoma" w:cs="Tahoma"/>
          <w:sz w:val="24"/>
          <w:szCs w:val="24"/>
        </w:rPr>
        <w:t xml:space="preserve"> alrededor de sus series de televisión favoritas</w:t>
      </w:r>
      <w:r>
        <w:rPr>
          <w:rFonts w:ascii="Tahoma" w:eastAsia="Times" w:hAnsi="Tahoma" w:cs="Tahoma"/>
          <w:sz w:val="24"/>
          <w:szCs w:val="24"/>
        </w:rPr>
        <w:t>,</w:t>
      </w:r>
      <w:r w:rsidRPr="00F21E9C">
        <w:rPr>
          <w:rFonts w:ascii="Tahoma" w:eastAsia="Times" w:hAnsi="Tahoma" w:cs="Tahoma"/>
          <w:sz w:val="24"/>
          <w:szCs w:val="24"/>
        </w:rPr>
        <w:t xml:space="preserve"> en las que interactúan sin ningún tipo de restricción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{"citationItems":[{"id":"ITEM-1","itemData":{"ISSN":"2174-1859","abstract":"El presente trabajo pretende mostrar la importancia que tiene el papel del prosumidor a la hora de desarrollar la narrativa transmedia de las series de ficción en televisión. Las contribuciones de este nuevo tipo de consumidor no pueden ser menospreciadas, se les debe otorgar la importancia que merecen, pues sus creaciones no hacen sino aumentar la visibilidad y el valor de marca de la historia en cuestión. Para la realización de esta investigación se ha llevado a cabo un estudio del caso de la serie de ficción El Ministerio del Tiempo. El fenómeno fan originado a raíz de esta serie ha favorecido la creación de una enorme cantidad de contenido transmedia. Este artículo muestra cómo las aportaciones de los prosumidores son tan importantes como el propio desarrollo oficial de la serie. Hacen que ésta crezca y sea más completa, generando una fidelidad por parte de los espectadores mucho mayor que las series que sólo se preocupan por su desarrollo monomediático. Son un grupo especial de espectadores a los que hay que cuidar y escuchar, pues son los mayores fans de estos productos audiovisuales. Y, además, pueden encumbrar o destruir un proyecto de estas características.","author":[{"dropping-particle":"","family":"Miranda Galbe","given":"Jorge","non-dropping-particle":"","parse-names":false,"suffix":""},{"dropping-particle":"","family":"Figuero Espadas","given":"Javier","non-dropping-particle":"","parse-names":false,"suffix":""}],"container-title":"index.comunicación","id":"ITEM-1","issue":"2","issued":{"date-parts":[["2016"]]},"page":"115-134","title":"El rol del prosumidor en la expansión narrativa transmedia de las historias de ficción en televisión: el caso de ‘El Ministerio del Tiempo’","type":"article-journal","volume":"6"},"uris":["http://www.mendeley.com/documents/?uuid=714843e6-0191-4e28-aa1d-1fda2e66a400"]}],"mendeley":{"formattedCitation":"(Miranda Galbe &amp; Figuero Espadas, 2016)","plainTextFormattedCitation":"(Miranda Galbe &amp; Figuero Espadas, 2016)","previouslyFormattedCitation":"(Miranda Galbe &amp; Figuero Espadas, 2016)"},"properties":{"noteIndex":0},"schema":"https://github.com/citation-style-language/schema/raw/master/csl-citation.json"}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(Miranda Galbe &amp; Figuero Espadas, 2016)</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Las marcas deben fomentar esta interacción e intentar participar en los procesos comunicativos que se establecen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{"citationItems":[{"id":"ITEM-1","itemData":{"author":[{"dropping-particle":"","family":"Scolari","given":"C. A.","non-dropping-particle":"","parse-names":false,"suffix":""}],"id":"ITEM-1","issued":{"date-parts":[["2013"]]},"publisher":"Deusto","publisher-place":"Barcelona","title":"Narrativas transmedia. Cuando todos los medios cuentan","type":"book"},"uris":["http://www.mendeley.com/documents/?uuid=ce9cf645-d63c-4a6c-a9b1-3484ce701f1e"]}],"mendeley":{"formattedCitation":"(Scolari, 2013)","plainTextFormattedCitation":"(Scolari, 2013)","previouslyFormattedCitation":"(Scolari, 2013)"},"properties":{"noteIndex":0},"schema":"https://github.com/citation-style-language/schema/raw/master/csl-citation.json"}</w:instrText>
      </w:r>
      <w:r w:rsidRPr="00F21E9C">
        <w:rPr>
          <w:rFonts w:ascii="Tahoma" w:eastAsia="Times" w:hAnsi="Tahoma" w:cs="Tahoma"/>
          <w:sz w:val="24"/>
          <w:szCs w:val="24"/>
        </w:rPr>
        <w:fldChar w:fldCharType="separate"/>
      </w:r>
      <w:r w:rsidRPr="00C9773A">
        <w:rPr>
          <w:rFonts w:ascii="Tahoma" w:eastAsia="Times" w:hAnsi="Tahoma" w:cs="Tahoma"/>
          <w:noProof/>
          <w:sz w:val="24"/>
          <w:szCs w:val="24"/>
        </w:rPr>
        <w:t>(Scolari, 2013)</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creando</w:t>
      </w:r>
      <w:r>
        <w:rPr>
          <w:rFonts w:ascii="Tahoma" w:eastAsia="Times" w:hAnsi="Tahoma" w:cs="Tahoma"/>
          <w:sz w:val="24"/>
          <w:szCs w:val="24"/>
        </w:rPr>
        <w:t xml:space="preserve"> </w:t>
      </w:r>
      <w:r w:rsidRPr="00F21E9C">
        <w:rPr>
          <w:rFonts w:ascii="Tahoma" w:eastAsia="Times" w:hAnsi="Tahoma" w:cs="Tahoma"/>
          <w:sz w:val="24"/>
          <w:szCs w:val="24"/>
        </w:rPr>
        <w:t xml:space="preserve">espacios propios que puedan gestionar acorde a sus objetivos empresariales pero, sobre todo, a las expectativas y deseos de sus </w:t>
      </w:r>
      <w:r w:rsidRPr="00F21E9C">
        <w:rPr>
          <w:rFonts w:ascii="Tahoma" w:eastAsia="Times" w:hAnsi="Tahoma" w:cs="Tahoma"/>
          <w:i/>
          <w:iCs/>
          <w:sz w:val="24"/>
          <w:szCs w:val="24"/>
        </w:rPr>
        <w:t>fans</w:t>
      </w:r>
      <w:r w:rsidRPr="00F21E9C">
        <w:rPr>
          <w:rFonts w:ascii="Tahoma" w:eastAsia="Times" w:hAnsi="Tahoma" w:cs="Tahoma"/>
          <w:sz w:val="24"/>
          <w:szCs w:val="24"/>
        </w:rPr>
        <w:t xml:space="preserve">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{"citationItems":[{"id":"ITEM-1","itemData":{"DOI":"10.6035/2174-0992.2019.18.11","abstract":"Brands have been able to adapt to each specific reality throughout their historical evolution. Its identity, symbolic and intangible, has taken prominence in the face of products and their purely functional benefits. The arrival of the XXIst century carries a series of very profound disruptive changes: technological democratization, hyperconnected global reality, liquid society, microsegmentation, etc. This fact becomes a clear paradigm shift that empowers both users and brands, placing them in a peer relationship where the digital environment conditions the main communication relationships. Brands advance in the professionalization of their strategic and integral management process, offering relevant content that helps them create unique experiences through a powerful engagement with the user. Netflix is ​​one of the brands that has gained the most global notoriety in recent years as a result of its strategic policy, business volume, communication policy and content offer. This question validates the pertinence of this research focused on analyzing, through a prior theoretical development of the discipline and its subsequent adaptation to a case study, the main elements that shape the policy of strategic brand management carried out for this platform of entertainment in streaming. Considering the nature of the study and, once analyzed the main results extracted, we observe how the contents play an absolutely essential role in the overall and strategic management policy of the Netflix brand. The protagonism of the contents in the construction of the brand is transversal and goes from the very concept of business to the implementation of the strategy through its main advertising and promotional communication actions.","author":[{"dropping-particle":"","family":"Mayorga Escalada","given":"Santiago","non-dropping-particle":"","parse-names":false,"suffix":""}],"container-title":"adComunica. Revista Científica de Estrategias, Tendencias e Innovación en Comunicación","id":"ITEM-1","issue":"18","issued":{"date-parts":[["2019"]]},"page":"219-244","title":"Netflix, estrategia y gestión de marca en torno a la relevancia de los contenidos","type":"article-journal"},"uris":["http://www.mendeley.com/documents/?uuid=f817ce57-2809-41c3-83e5-4e0f1f60f89c"]},{"id":"ITEM-2","itemData":{"DOI":"10.3916/C43-2014-08","ISSN":"1134-3478","abstract":"La combinación de redes sociales, segundas pantallas y televisión ha propiciado la aparición de una nueva relación de los espectadores con la televisión en la que los habituales roles del paradigma de la comunicación se han alterado. La televisión social ha dado pie al nacimiento de la audiencia social entendida como una fragmentación de la audiencia real en función de su interactividad en las redes sociales. Este trabajo pretende estudiar los elementos que contribuyen al éxito o fracaso de programas con un mismo formato en relación a la audiencia social. Para ello se han tomado como objeto de estudio los tres talent show que lanzaron las principales cadenas generalistas españolas en septiembre del año 2013. Se ha procedido a la observación del impacto de dichos programas en la red social Twitter empleando una ficha de elaboración propia y se desarrolló un sistema de categorías de análisis y códigos con el fin de recopilar toda la información recogida. Los resultados obtenidos indican que en el éxito de los programas analizados en audiencia social influye la actividad de la cuentas de los presentadores y del jurado. Las conclusiones alcanzadas tras este análisis de la experiencia española pueden servir como modelo de desarrollo de la audiencia social para otros países en los que esta no se encuentre tan extendida.","author":[{"dropping-particle":"","family":"Quintas-Froufe","given":"Natalia","non-dropping-particle":"","parse-names":false,"suffix":""},{"dropping-particle":"","family":"González-Neira","given":"Ana","non-dropping-particle":"","parse-names":false,"suffix":""}],"container-title":"Comunicar","id":"ITEM-2","issue":"43","issued":{"date-parts":[["2014"]]},"page":"83-90","title":"Audiencias activas: participación de la audiencia social en la televisión","type":"article-journal","volume":"XXII"},"uris":["http://www.mendeley.com/documents/?uuid=036d4d9c-5a78-4194-8c77-84168ac0d6ef"]},{"id":"ITEM-3","itemData":{"DOI":"10.1080/16522354.2018.1481711","ISSN":"16522354","abstract":"The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Studies","id":"ITEM-3","issue":"2","issued":{"date-parts":[["2018"]]},"page":"127-146","publisher":"Routledge","title":"Connecting with audiences in new markets: Netflix´s Twitter strategy in Spain","type":"article-journal","volume":"15"},"uris":["http://www.mendeley.com/documents/?uuid=fc5dea6f-1186-46f4-b852-8cb84dbc140d"]},{"id":"ITEM-4","itemData":{"DOI":"10.3145/epi.2018.nov.12","ISBN":"0000000310","ISSN":"1386-6710","abstract":"Resumen: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Información","id":"ITEM-4","issue":"6","issued":{"date-parts":[["2018"]]},"page":"1292","title":"La estrategia de engagement de Netflix España en Twitter","type":"article-journal","volume":"27"},"uris":["http://www.mendeley.com/documents/?uuid=8dcc95d0-fef3-455b-ba0c-5a9c17ea0c53"]}],"mendeley":{"formattedCitation":"(Fernández-Gómez &amp; Martín-Quevedo, 2018a, 2018b; Mayorga Escalada, 2019; Quintas-Froufe &amp; González-Neira, 2014)","plainTextFormattedCitation":"(Fernández-Gómez &amp; Martín-Quevedo, 2018a, 2018b; Mayorga Escalada, 2019; Quintas-Froufe &amp; González-Neira, 2014)","previouslyFormattedCitation":"(Fernández-Gómez &amp; Martín-Quevedo, 2018a, 2018b; Mayorga Escalada, 2019; Quintas-Froufe &amp; González-Neira, 2014)"},"properties":{"noteIndex":0},"schema":"https://github.com/citation-style-language/schema/raw/master/csl-citation.json"}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(Fernández-Gómez &amp; Martín-Quevedo, 2018a, 2018b; Mayorga Escalada, 2019; Quintas-Froufe &amp; González-Neira, 2014)</w:t>
      </w:r>
      <w:r w:rsidRPr="00F21E9C">
        <w:rPr>
          <w:rFonts w:ascii="Tahoma" w:eastAsia="Times" w:hAnsi="Tahoma" w:cs="Tahoma"/>
          <w:sz w:val="24"/>
          <w:szCs w:val="24"/>
        </w:rPr>
        <w:fldChar w:fldCharType="end"/>
      </w:r>
      <w:r w:rsidRPr="00F21E9C">
        <w:rPr>
          <w:rFonts w:ascii="Tahoma" w:eastAsia="Times" w:hAnsi="Tahoma" w:cs="Tahoma"/>
          <w:sz w:val="24"/>
          <w:szCs w:val="24"/>
        </w:rPr>
        <w:t>.</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Creados estos espacios, es decir sus perfiles propios en las redes sociales, la cuestión radica en cómo lograr conversación a partir de la conversión del consumidor en </w:t>
      </w:r>
      <w:proofErr w:type="spellStart"/>
      <w:r w:rsidRPr="00F21E9C">
        <w:rPr>
          <w:rFonts w:ascii="Tahoma" w:eastAsia="Times" w:hAnsi="Tahoma" w:cs="Tahoma"/>
          <w:i/>
          <w:iCs/>
          <w:sz w:val="24"/>
          <w:szCs w:val="24"/>
        </w:rPr>
        <w:t>prosumer</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o </w:t>
      </w:r>
      <w:proofErr w:type="spellStart"/>
      <w:r w:rsidRPr="00F21E9C">
        <w:rPr>
          <w:rFonts w:ascii="Tahoma" w:eastAsia="Times" w:hAnsi="Tahoma" w:cs="Tahoma"/>
          <w:i/>
          <w:iCs/>
          <w:sz w:val="24"/>
          <w:szCs w:val="24"/>
        </w:rPr>
        <w:t>adprosumer</w:t>
      </w:r>
      <w:proofErr w:type="spellEnd"/>
      <w:r w:rsidRPr="00F21E9C">
        <w:rPr>
          <w:rFonts w:ascii="Tahoma" w:eastAsia="Times" w:hAnsi="Tahoma" w:cs="Tahoma"/>
          <w:sz w:val="24"/>
          <w:szCs w:val="24"/>
        </w:rPr>
        <w:t xml:space="preserve">. Ciertamente es más sencillo lograrlo cuando existe un interés previo por el producto o servicio como ocurre con los </w:t>
      </w:r>
      <w:r w:rsidRPr="00F21E9C">
        <w:rPr>
          <w:rFonts w:ascii="Tahoma" w:eastAsia="Times" w:hAnsi="Tahoma" w:cs="Tahoma"/>
          <w:i/>
          <w:iCs/>
          <w:sz w:val="24"/>
          <w:szCs w:val="24"/>
        </w:rPr>
        <w:t>fans</w:t>
      </w:r>
      <w:r w:rsidRPr="00F21E9C">
        <w:rPr>
          <w:rFonts w:ascii="Tahoma" w:eastAsia="Times" w:hAnsi="Tahoma" w:cs="Tahoma"/>
          <w:sz w:val="24"/>
          <w:szCs w:val="24"/>
        </w:rPr>
        <w:t xml:space="preserve"> de las series de televisión. En su caso, además, las incógnitas, la falta de respuesta a algunas preguntas planteadas por las series, o simplemente el deseo de manifestar su visión, son el principal motivo por el que se lanzan a producir y difundir sus propios contenidos. De este modo sus creaciones, los </w:t>
      </w:r>
      <w:proofErr w:type="spellStart"/>
      <w:r w:rsidRPr="00F21E9C">
        <w:rPr>
          <w:rFonts w:ascii="Tahoma" w:eastAsia="Times" w:hAnsi="Tahoma" w:cs="Tahoma"/>
          <w:i/>
          <w:iCs/>
          <w:sz w:val="24"/>
          <w:szCs w:val="24"/>
        </w:rPr>
        <w:t>fanmades</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se presentan como un complemento que contribuye a la comprensión y difusión de la serie de televisión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{"citationItems":[{"id":"ITEM-1","itemData":{"ISSN":"2174-1859","abstract":"El presente trabajo pretende mostrar la importancia que tiene el papel del prosumidor a la hora de desarrollar la narrativa transmedia de las series de ficción en televisión. Las contribuciones de este nuevo tipo de consumidor no pueden ser menospreciadas, se les debe otorgar la importancia que merecen, pues sus creaciones no hacen sino aumentar la visibilidad y el valor de marca de la historia en cuestión. Para la realización de esta investigación se ha llevado a cabo un estudio del caso de la serie de ficción El Ministerio del Tiempo. El fenómeno fan originado a raíz de esta serie ha favorecido la creación de una enorme cantidad de contenido transmedia. Este artículo muestra cómo las aportaciones de los prosumidores son tan importantes como el propio desarrollo oficial de la serie. Hacen que ésta crezca y sea más completa, generando una fidelidad por parte de los espectadores mucho mayor que las series que sólo se preocupan por su desarrollo monomediático. Son un grupo especial de espectadores a los que hay que cuidar y escuchar, pues son los mayores fans de estos productos audiovisuales. Y, además, pueden encumbrar o destruir un proyecto de estas características.","author":[{"dropping-particle":"","family":"Miranda Galbe","given":"Jorge","non-dropping-particle":"","parse-names":false,"suffix":""},{"dropping-particle":"","family":"Figuero Espadas","given":"Javier","non-dropping-particle":"","parse-names":false,"suffix":""}],"container-title":"index.comunicación","id":"ITEM-1","issue":"2","issued":{"date-parts":[["2016"]]},"page":"115-134","title":"El rol del prosumidor en la expansión narrativa transmedia de las historias de ficción en televisión: el caso de ‘El Ministerio del Tiempo’","type":"article-journal","volume":"6"},"uris":["http://www.mendeley.com/documents/?uuid=714843e6-0191-4e28-aa1d-1fda2e66a400"]},{"id":"ITEM-2","itemData":{"DOI":"10.3145/epi.2017.nov.13","ISBN":"0000000259835","ISSN":"1386-6710","abstract":"Fan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Información","id":"ITEM-2","issue":"6","issued":{"date-parts":[["2017"]]},"page":"1139","title":"Comunidades de fans y ficción televisiva. Estudio de caso: El ministerio del tiempo (TVE)","type":"article-journal","volume":"26"},"uris":["http://www.mendeley.com/documents/?uuid=4d95a773-0bf3-41f2-b03f-94fe0e38dab0"]}],"mendeley":{"formattedCitation":"(Miranda Galbe &amp; Figuero Espadas, 2016; Torregrosa-Carmona &amp; Rodríguez-Gómez, 2017)","plainTextFormattedCitation":"(Miranda Galbe &amp; Figuero Espadas, 2016; Torregrosa-Carmona &amp; Rodríguez-Gómez, 2017)","previouslyFormattedCitation":"(Miranda Galbe &amp; Figuero Espadas, 2016;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(Miranda Galbe &amp; Figuero Espadas, 2016; Torregrosa-Carmona &amp; Rodríguez-Gómez,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hAnsi="Tahoma" w:cs="Tahoma"/>
          <w:color w:val="00B050"/>
          <w:sz w:val="24"/>
          <w:szCs w:val="24"/>
        </w:rPr>
      </w:pPr>
      <w:r w:rsidRPr="00F21E9C">
        <w:rPr>
          <w:rFonts w:ascii="Tahoma" w:eastAsia="Times" w:hAnsi="Tahoma" w:cs="Tahoma"/>
          <w:sz w:val="24"/>
          <w:szCs w:val="24"/>
        </w:rPr>
        <w:t xml:space="preserve">En función de lo expuesto se justifica esta investigación fundamentada en la necesidad de las organizaciones de fomentar la interacción por parte de los usuarios de las redes sociales, es decir, de activar sus roles como </w:t>
      </w:r>
      <w:proofErr w:type="spellStart"/>
      <w:r w:rsidRPr="00F21E9C">
        <w:rPr>
          <w:rFonts w:ascii="Tahoma" w:eastAsia="Times" w:hAnsi="Tahoma" w:cs="Tahoma"/>
          <w:i/>
          <w:iCs/>
          <w:sz w:val="24"/>
          <w:szCs w:val="24"/>
        </w:rPr>
        <w:t>prosumers</w:t>
      </w:r>
      <w:proofErr w:type="spellEnd"/>
      <w:r w:rsidRPr="00F21E9C">
        <w:rPr>
          <w:rFonts w:ascii="Tahoma" w:eastAsia="Times" w:hAnsi="Tahoma" w:cs="Tahoma"/>
          <w:sz w:val="24"/>
          <w:szCs w:val="24"/>
        </w:rPr>
        <w:t xml:space="preserve"> y </w:t>
      </w:r>
      <w:proofErr w:type="spellStart"/>
      <w:r w:rsidRPr="00F21E9C">
        <w:rPr>
          <w:rFonts w:ascii="Tahoma" w:eastAsia="Times" w:hAnsi="Tahoma" w:cs="Tahoma"/>
          <w:i/>
          <w:iCs/>
          <w:sz w:val="24"/>
          <w:szCs w:val="24"/>
        </w:rPr>
        <w:t>adoprosumers</w:t>
      </w:r>
      <w:proofErr w:type="spellEnd"/>
      <w:r w:rsidRPr="00F21E9C">
        <w:rPr>
          <w:rFonts w:ascii="Tahoma" w:eastAsia="Times" w:hAnsi="Tahoma" w:cs="Tahoma"/>
          <w:sz w:val="24"/>
          <w:szCs w:val="24"/>
        </w:rPr>
        <w:t xml:space="preserve">, para lograr un nivel óptimo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Esto obliga a profesionales y académicos a reconsiderar la conceptualización del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sz w:val="24"/>
          <w:szCs w:val="24"/>
        </w:rPr>
        <w:t xml:space="preserve">, y de las fórmulas para generarlo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author":[{"dropping-particle":"","family":"Martínez-Sala","given":"Alba-María","non-dropping-particle":"","parse-names":false,"suffix":""},{"dropping-particle":"","family":"Segarra-Saavedra","given":"J.","non-dropping-particle":"","parse-names":false,"suffix":""}],"container-title":"Tendencias de la Comunicación para el Turismo","editor":[{"dropping-particle":"","family":"Altamirano-Benítez","given":"V.","non-dropping-particle":"","parse-names":false,"suffix":""},{"dropping-particle":"","family":"Túñez-López","given":"M.","non-dropping-particle":"","parse-names":false,"suffix":""},{"dropping-particle":"","family":"Marín-Gutiérrez","given":"I.","non-dropping-particle":"","parse-names":false,"suffix":""}],"id":"ITEM-1","issued":{"date-parts":[["2020"]]},"page":"149-183","publisher":"Editorial Dykinson","publisher-place":"Madrid","title":"Engagement y disengagement online, factores clave en las estrategias de comunicación turística 2.0.","type":"chapter"},"uris":["http://www.mendeley.com/documents/?uuid=cb7662fc-b6a0-487b-a4b9-4cec3f1b7033"]}],"mendeley":{"formattedCitation":"(Martínez-Sala &amp; Segarra-Saavedra, 2020)","plainTextFormattedCitation":"(Martínez-Sala &amp; Segarra-Saavedra, 2020)","previouslyFormattedCitation":"(Martínez-Sala &amp; Segarra-Saavedra, 2020)"},"properties":{"noteIndex":0},"schema":"https://github.com/citation-style-language/schema/raw/master/csl-citation.json"}</w:instrText>
      </w:r>
      <w:r w:rsidRPr="00F21E9C">
        <w:rPr>
          <w:rFonts w:ascii="Tahoma" w:eastAsia="Times" w:hAnsi="Tahoma" w:cs="Tahoma"/>
          <w:sz w:val="24"/>
          <w:szCs w:val="24"/>
        </w:rPr>
        <w:fldChar w:fldCharType="separate"/>
      </w:r>
      <w:r w:rsidRPr="001B59BD">
        <w:rPr>
          <w:rFonts w:ascii="Tahoma" w:eastAsia="Times" w:hAnsi="Tahoma" w:cs="Tahoma"/>
          <w:noProof/>
          <w:sz w:val="24"/>
          <w:szCs w:val="24"/>
        </w:rPr>
        <w:t>(Martínez-Sala &amp; Segarra-Saavedra, 2020)</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porque bajo el modelo web 2.0 y, para los nativos digitales, todo gira en torno a participar y compartir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Información","id":"ITEM-1","issue":"6","issued":{"date-parts":[["2018"]]},"page":"1292","title":"La estrategia de engagement de Netflix España en Twitter","type":"article-journal","volume":"27"},"uris":["http://www.mendeley.com/documents/?uuid=8dcc95d0-fef3-455b-ba0c-5a9c17ea0c53"]}],"mendeley":{"formattedCitation":"(Fernández-Gómez &amp; Martín-Quevedo, 2018b)","plainTextFormattedCitation":"(Fernández-Gómez &amp; Martín-Quevedo, 2018b)","previouslyFormattedCitation":"(Fernández-Gómez &amp; Martín-Quevedo, 2018b)"},"properties":{"noteIndex":0},"schema":"https://github.com/citation-style-language/schema/raw/master/csl-citation.json"}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(Fernández-Gómez &amp; Martín-Quevedo, 2018b)</w:t>
      </w:r>
      <w:r w:rsidRPr="00F21E9C">
        <w:rPr>
          <w:rFonts w:ascii="Tahoma" w:eastAsia="Times" w:hAnsi="Tahoma" w:cs="Tahoma"/>
          <w:sz w:val="24"/>
          <w:szCs w:val="24"/>
        </w:rPr>
        <w:fldChar w:fldCharType="end"/>
      </w:r>
      <w:r w:rsidRPr="00F21E9C">
        <w:rPr>
          <w:rFonts w:ascii="Tahoma" w:eastAsia="Times" w:hAnsi="Tahoma" w:cs="Tahoma"/>
          <w:sz w:val="24"/>
          <w:szCs w:val="24"/>
        </w:rPr>
        <w:t>.</w:t>
      </w:r>
      <w:r w:rsidRPr="00F21E9C">
        <w:rPr>
          <w:rFonts w:ascii="Tahoma" w:hAnsi="Tahoma" w:cs="Tahoma"/>
          <w:bCs/>
          <w:color w:val="000000"/>
          <w:sz w:val="24"/>
          <w:szCs w:val="24"/>
        </w:rPr>
        <w:t xml:space="preserve"> </w:t>
      </w:r>
    </w:p>
    <w:p w:rsidR="00D52EA2" w:rsidRPr="00F21E9C" w:rsidRDefault="00D52EA2" w:rsidP="00740778">
      <w:pPr>
        <w:spacing w:after="0"/>
        <w:ind w:firstLine="284"/>
        <w:jc w:val="both"/>
        <w:rPr>
          <w:rFonts w:ascii="Tahoma" w:hAnsi="Tahoma" w:cs="Tahoma"/>
          <w:b/>
          <w:bCs/>
          <w:color w:val="FF0000"/>
          <w:sz w:val="24"/>
          <w:szCs w:val="24"/>
        </w:rPr>
      </w:pPr>
    </w:p>
    <w:p w:rsidR="00D52EA2" w:rsidRPr="00F21E9C" w:rsidRDefault="00D52EA2" w:rsidP="00740778">
      <w:pPr>
        <w:tabs>
          <w:tab w:val="left" w:pos="600"/>
        </w:tabs>
        <w:autoSpaceDE w:val="0"/>
        <w:autoSpaceDN w:val="0"/>
        <w:adjustRightInd w:val="0"/>
        <w:spacing w:after="0"/>
        <w:jc w:val="both"/>
        <w:rPr>
          <w:rFonts w:ascii="Tahoma" w:hAnsi="Tahoma" w:cs="Tahoma"/>
          <w:b/>
          <w:sz w:val="24"/>
          <w:szCs w:val="24"/>
        </w:rPr>
      </w:pPr>
      <w:r w:rsidRPr="00F21E9C">
        <w:rPr>
          <w:rFonts w:ascii="Tahoma" w:hAnsi="Tahoma" w:cs="Tahoma"/>
          <w:b/>
          <w:sz w:val="24"/>
          <w:szCs w:val="24"/>
        </w:rPr>
        <w:t xml:space="preserve">2. OBJETIVOS </w:t>
      </w:r>
    </w:p>
    <w:p w:rsidR="00D52EA2" w:rsidRPr="00F21E9C" w:rsidRDefault="00D52EA2" w:rsidP="00740778">
      <w:pPr>
        <w:tabs>
          <w:tab w:val="left" w:pos="600"/>
        </w:tabs>
        <w:autoSpaceDE w:val="0"/>
        <w:autoSpaceDN w:val="0"/>
        <w:adjustRightInd w:val="0"/>
        <w:spacing w:after="0"/>
        <w:ind w:firstLine="284"/>
        <w:jc w:val="both"/>
        <w:rPr>
          <w:rFonts w:ascii="Tahoma" w:hAnsi="Tahoma" w:cs="Tahoma"/>
          <w:color w:val="000000"/>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Dada la relevancia de la audiencia social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Social","id":"ITEM-1","issue":"73","issued":{"date-parts":[["2018"]]},"page":"1-18","title":"Fandom televisivo y construcción de identidad. Análisis de los comentarios de las fans españolas y los community managers","type":"article-journal","volume":"2018"},"uris":["http://www.mendeley.com/documents/?uuid=e101c1c0-c2d6-4fe1-9c44-8361d532fc84"]},{"id":"ITEM-2","itemData":{"DOI":"https://doi.org/10.31207/rch.v9i2.172","abstract":"Las cadenas de televisión han visto en el uso de las redes sociales una oportunidad para favorecer la relación con sus audiencias y conocerlas mejor, y esto ha sido objeto de interés de la profesión y la academia. También lo ha sido el uso de Twitter como parte de su estrategia de comunicación. El desarrollo de los servicios audiovisuales bajo demanda, que alteran los patrones de consumo tradicional, sugiere un marco diferente en estudio del uso de las redes sociales, Twitter en particular. El objetivo de este estudio es el análisis del discurso que mantiene Netflix en la red social Twitter. Nos preguntamos cómo se relaciona la marca con los consumidores fuera de su canal propio –su aplicación, su plataforma-. Es decir, qué tipo de conversaciones mantiene en un espacio público, si lo hace; en qué se centran esas conversaciones y cuál es el peso de los contenidos de su catálogo en ellas. Para ello, combinaremos la creación de un marco teórico para la comprensión del uso de Twitter en un servicio de video bajo demanda con el estudio del caso de Netflix España centrándonos en un mes concreto al año siguiente de su lanzamiento. El objetivo final consiste en extraer tendencias que apunten a prácticas paradigmáticas para el mantenimiento de una relación de engagement a través de Twitter en un servicio de video bajo demanda.","author":[{"dropping-particle":"","family":"Herrero Subías","given":"Mónica","non-dropping-particle":"","parse-names":false,"suffix":""},{"dropping-particle":"","family":"Urgellés Molina","given":"Alicia","non-dropping-particle":"","parse-names":false,"suffix":""}],"container-title":"Revista Comhumanitas","id":"ITEM-2","issue":"2","issued":{"date-parts":[["2018"]]},"page":"175-191","title":"Generación de engagement con un servicio de vídeo bajo demanda en Twitter. El caso de Netflix España","type":"article-journal","volume":"9"},"uris":["http://www.mendeley.com/documents/?uuid=9b5c7665-b171-429d-9318-630b5e5a11dd"]},{"id":"ITEM-3","itemData":{"DOI":"10.24137/raeic.3.6.4","ISSN":"2341-2690","abstract":"text El 1º de enero de 2014 se cumplieron 20 años de la entrada en vigor del Tratado de Libre Comercio de América del Norte (TLCAN) firmado entre México, Estados Unidos y Canadá, periodo durante el cual la industria del cine mexicano ha experimentado una serie de crisis y transformaciones. En este trabajo se presenta un análisis de los efectos que en la producción, circulación y consumo cinematográficos de películas mexicanas han tenido las políticas económicas neoliberales, cambios a las regulaciones y apertura del mercado de la industria cinematográfica nacional que se adoptaron desde la firma del TLCAN, desde la perspectiva de la economía política de la comunicación y la cultura, en la producción cinematográfica a nivel nacional durante el periodo 1992-2013; y de la exhibición y oferta de películas en los cines comerciales a nivel local como referente empírico. Como método de estudio se utilizan la investigación documental, la técnica del análisis de contenido y la encuesta. Los resultados muestran que en la primera década posterior a la entrada del TLCAN se presentó una crisis en la industria del cine que casi la hace desaparecer; sin embargo, a partir del 2006 se observa una mejoría en la producción y consumo de películas mexicanas, no así en la exhibición.","author":[{"dropping-particle":"","family":"González Neira","given":"Ana","non-dropping-particle":"","parse-names":false,"suffix":""},{"dropping-particle":"","family":"Quintas Froufe","given":"Natalia","non-dropping-particle":"","parse-names":false,"suffix":""}],"container-title":"Revista de la Asociación Española de Investigación de la Comunicación","id":"ITEM-3","issue":"6","issued":{"date-parts":[["2016"]]},"page":"27-33","title":"El comportamiento de la audiencia lineal, social y en diferido de las series de ficción española","type":"article-journal","volume":"3"},"uris":["http://www.mendeley.com/documents/?uuid=7ac0671e-3709-496d-a39f-c760ae33ee88","http://www.mendeley.com/documents/?uuid=42e4cdc8-9333-400a-bfc5-d079af83f66d"]}],"mendeley":{"formattedCitation":"(González Neira &amp; Quintas Froufe, 2016; Herrero Subías &amp; Urgellés Molina, 2018; Lacalle &amp; Castro, 2018)","plainTextFormattedCitation":"(González Neira &amp; Quintas Froufe, 2016; Herrero Subías &amp; Urgellés Molina, 2018; Lacalle &amp; Castro, 2018)","previouslyFormattedCitation":"(González Neira &amp; Quintas Froufe, 2016; Herrero Subías &amp; Urgellés Molina, 2018; Lacalle &amp; Castro, 2018)"},"properties":{"noteIndex":0},"schema":"https://github.com/citation-style-language/schema/raw/master/csl-citation.json"}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(González Neira &amp; Quintas Froufe, 2016; Herrero Subías &amp; Urgellés Molina, 2018; Lacalle &amp; Castro,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en la construcción y desarrollo de las marcas, las organizaciones del sector audiovisual, en general, y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en particular, deben desarrollar estrategias de </w:t>
      </w:r>
      <w:r w:rsidRPr="00F21E9C">
        <w:rPr>
          <w:rFonts w:ascii="Tahoma" w:eastAsia="Times" w:hAnsi="Tahoma" w:cs="Tahoma"/>
          <w:i/>
          <w:iCs/>
          <w:sz w:val="24"/>
          <w:szCs w:val="24"/>
        </w:rPr>
        <w:t>marketing</w:t>
      </w:r>
      <w:r w:rsidRPr="00F21E9C">
        <w:rPr>
          <w:rFonts w:ascii="Tahoma" w:eastAsia="Times" w:hAnsi="Tahoma" w:cs="Tahoma"/>
          <w:sz w:val="24"/>
          <w:szCs w:val="24"/>
        </w:rPr>
        <w:t xml:space="preserve"> y comunicación digital que integren las redes sociales de tal forma que se propicie una comunicación de carácter multidireccional promovida por la marca y por los propios seguidores convertidos en </w:t>
      </w:r>
      <w:proofErr w:type="spellStart"/>
      <w:r w:rsidRPr="00F21E9C">
        <w:rPr>
          <w:rFonts w:ascii="Tahoma" w:eastAsia="Times" w:hAnsi="Tahoma" w:cs="Tahoma"/>
          <w:i/>
          <w:iCs/>
          <w:sz w:val="24"/>
          <w:szCs w:val="24"/>
        </w:rPr>
        <w:t>prosumers</w:t>
      </w:r>
      <w:proofErr w:type="spellEnd"/>
      <w:r w:rsidRPr="00F21E9C">
        <w:rPr>
          <w:rFonts w:ascii="Tahoma" w:eastAsia="Times" w:hAnsi="Tahoma" w:cs="Tahoma"/>
          <w:sz w:val="24"/>
          <w:szCs w:val="24"/>
        </w:rPr>
        <w:t xml:space="preserve"> y </w:t>
      </w:r>
      <w:proofErr w:type="spellStart"/>
      <w:r w:rsidRPr="00F21E9C">
        <w:rPr>
          <w:rFonts w:ascii="Tahoma" w:eastAsia="Times" w:hAnsi="Tahoma" w:cs="Tahoma"/>
          <w:i/>
          <w:iCs/>
          <w:sz w:val="24"/>
          <w:szCs w:val="24"/>
        </w:rPr>
        <w:t>adprosumers</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y</w:t>
      </w:r>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estimulada por los textos televisivos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Social","id":"ITEM-1","issue":"73","issued":{"date-parts":[["2018"]]},"page":"1-18","title":"Fandom televisivo y construcción de identidad. Análisis de los comentarios de las fans españolas y los community managers","type":"article-journal","volume":"2018"},"uris":["http://www.mendeley.com/documents/?uuid=e101c1c0-c2d6-4fe1-9c44-8361d532fc84"]},{"id":"ITEM-2","itemData":{"DOI":"10.3145/epi.2018.nov.12","ISBN":"0000000310","ISSN":"1386-6710","abstract":"Resumen: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Información","id":"ITEM-2","issue":"6","issued":{"date-parts":[["2018"]]},"page":"1292","title":"La estrategia de engagement de Netflix España en Twitter","type":"article-journal","volume":"27"},"uris":["http://www.mendeley.com/documents/?uuid=8dcc95d0-fef3-455b-ba0c-5a9c17ea0c53"]},{"id":"ITEM-3","itemData":{"DOI":"10.1080/16522354.2018.1481711","ISSN":"16522354","abstract":"The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Studies","id":"ITEM-3","issue":"2","issued":{"date-parts":[["2018"]]},"page":"127-146","publisher":"Routledge","title":"Connecting with audiences in new markets: Netflix´s Twitter strategy in Spain","type":"article-journal","volume":"15"},"uris":["http://www.mendeley.com/documents/?uuid=fc5dea6f-1186-46f4-b852-8cb84dbc140d"]},{"id":"ITEM-4","itemData":{"DOI":"10.6035/2174-0992.2019.18.11","abstract":"Brands have been able to adapt to each specific reality throughout their historical evolution. Its identity, symbolic and intangible, has taken prominence in the face of products and their purely functional benefits. The arrival of the XXIst century carries a series of very profound disruptive changes: technological democratization, hyperconnected global reality, liquid society, microsegmentation, etc. This fact becomes a clear paradigm shift that empowers both users and brands, placing them in a peer relationship where the digital environment conditions the main communication relationships. Brands advance in the professionalization of their strategic and integral management process, offering relevant content that helps them create unique experiences through a powerful engagement with the user. Netflix is ​​one of the brands that has gained the most global notoriety in recent years as a result of its strategic policy, business volume, communication policy and content offer. This question validates the pertinence of this research focused on analyzing, through a prior theoretical development of the discipline and its subsequent adaptation to a case study, the main elements that shape the policy of strategic brand management carried out for this platform of entertainment in streaming. Considering the nature of the study and, once analyzed the main results extracted, we observe how the contents play an absolutely essential role in the overall and strategic management policy of the Netflix brand. The protagonism of the contents in the construction of the brand is transversal and goes from the very concept of business to the implementation of the strategy through its main advertising and promotional communication actions.","author":[{"dropping-particle":"","family":"Mayorga Escalada","given":"Santiago","non-dropping-particle":"","parse-names":false,"suffix":""}],"container-title":"adComunica. Revista Científica de Estrategias, Tendencias e Innovación en Comunicación","id":"ITEM-4","issue":"18","issued":{"date-parts":[["2019"]]},"page":"219-244","title":"Netflix, estrategia y gestión de marca en torno a la relevancia de los contenidos","type":"article-journal"},"uris":["http://www.mendeley.com/documents/?uuid=f817ce57-2809-41c3-83e5-4e0f1f60f89c"]},{"id":"ITEM-5","itemData":{"DOI":"https://doi.org/10.31207/rch.v9i2.172","abstract":"Las cadenas de televisión han visto en el uso de las redes sociales una oportunidad para favorecer la relación con sus audiencias y conocerlas mejor, y esto ha sido objeto de interés de la profesión y la academia. También lo ha sido el uso de Twitter como parte de su estrategia de comunicación. El desarrollo de los servicios audiovisuales bajo demanda, que alteran los patrones de consumo tradicional, sugiere un marco diferente en estudio del uso de las redes sociales, Twitter en particular. El objetivo de este estudio es el análisis del discurso que mantiene Netflix en la red social Twitter. Nos preguntamos cómo se relaciona la marca con los consumidores fuera de su canal propio –su aplicación, su plataforma-. Es decir, qué tipo de conversaciones mantiene en un espacio público, si lo hace; en qué se centran esas conversaciones y cuál es el peso de los contenidos de su catálogo en ellas. Para ello, combinaremos la creación de un marco teórico para la comprensión del uso de Twitter en un servicio de video bajo demanda con el estudio del caso de Netflix España centrándonos en un mes concreto al año siguiente de su lanzamiento. El objetivo final consiste en extraer tendencias que apunten a prácticas paradigmáticas para el mantenimiento de una relación de engagement a través de Twitter en un servicio de video bajo demanda.","author":[{"dropping-particle":"","family":"Herrero Subías","given":"Mónica","non-dropping-particle":"","parse-names":false,"suffix":""},{"dropping-particle":"","family":"Urgellés Molina","given":"Alicia","non-dropping-particle":"","parse-names":false,"suffix":""}],"container-title":"Revista Comhumanitas","id":"ITEM-5","issue":"2","issued":{"date-parts":[["2018"]]},"page":"175-191","title":"Generación de engagement con un servicio de vídeo bajo demanda en Twitter. El caso de Netflix España","type":"article-journal","volume":"9"},"uris":["http://www.mendeley.com/documents/?uuid=9b5c7665-b171-429d-9318-630b5e5a11dd"]}],"mendeley":{"formattedCitation":"(Fernández-Gómez &amp; Martín-Quevedo, 2018b, 2018a; Herrero Subías &amp; Urgellés Molina, 2018; Lacalle &amp; Castro, 2018; Mayorga Escalada, 2019)","plainTextFormattedCitation":"(Fernández-Gómez &amp; Martín-Quevedo, 2018b, 2018a; Herrero Subías &amp; Urgellés Molina, 2018; Lacalle &amp; Castro, 2018; Mayorga Escalada, 2019)","previouslyFormattedCitation":"(Fernández-Gómez &amp; Martín-Quevedo, 2018b, 2018a; Herrero Subías &amp; Urgellés Molina, 2018; Lacalle &amp; Castro, 2018; Mayorga Escalada, 2019)"},"properties":{"noteIndex":0},"schema":"https://github.com/citation-style-language/schema/raw/master/csl-citation.json"}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(Fernández-Gómez &amp; Martín-Quevedo, 2018b, 2018a; Herrero Subías &amp; Urgellés Molina, 2018; Lacalle &amp; Castro, 2018; Mayorga Escalada, 2019)</w:t>
      </w:r>
      <w:r w:rsidRPr="00F21E9C">
        <w:rPr>
          <w:rFonts w:ascii="Tahoma" w:eastAsia="Times" w:hAnsi="Tahoma" w:cs="Tahoma"/>
          <w:sz w:val="24"/>
          <w:szCs w:val="24"/>
        </w:rPr>
        <w:fldChar w:fldCharType="end"/>
      </w:r>
      <w:r w:rsidRPr="00F21E9C">
        <w:rPr>
          <w:rFonts w:ascii="Tahoma" w:eastAsia="Times" w:hAnsi="Tahoma" w:cs="Tahoma"/>
          <w:i/>
          <w:iCs/>
          <w:sz w:val="24"/>
          <w:szCs w:val="24"/>
        </w:rPr>
        <w:t>.</w:t>
      </w:r>
      <w:r w:rsidRPr="00F21E9C">
        <w:rPr>
          <w:rFonts w:ascii="Tahoma" w:eastAsia="Times" w:hAnsi="Tahoma" w:cs="Tahoma"/>
          <w:sz w:val="24"/>
          <w:szCs w:val="24"/>
        </w:rPr>
        <w:t xml:space="preserve"> Ello conlleva altos índices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sz w:val="24"/>
          <w:szCs w:val="24"/>
        </w:rPr>
        <w:t xml:space="preserve">En este sentido, el contexto actual presenta dificultades respecto del logro de la implicación de los seguidores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{"citationItems":[{"id":"ITEM-1","itemData":{"DOI":"https://doi.org/10.31207/rch.v9i2.172","abstract":"Las cadenas de televisión han visto en el uso de las redes sociales una oportunidad para favorecer la relación con sus audiencias y conocerlas mejor, y esto ha sido objeto de interés de la profesión y la academia. También lo ha sido el uso de Twitter como parte de su estrategia de comunicación. El desarrollo de los servicios audiovisuales bajo demanda, que alteran los patrones de consumo tradicional, sugiere un marco diferente en estudio del uso de las redes sociales, Twitter en particular. El objetivo de este estudio es el análisis del discurso que mantiene Netflix en la red social Twitter. Nos preguntamos cómo se relaciona la marca con los consumidores fuera de su canal propio –su aplicación, su plataforma-. Es decir, qué tipo de conversaciones mantiene en un espacio público, si lo hace; en qué se centran esas conversaciones y cuál es el peso de los contenidos de su catálogo en ellas. Para ello, combinaremos la creación de un marco teórico para la comprensión del uso de Twitter en un servicio de video bajo demanda con el estudio del caso de Netflix España centrándonos en un mes concreto al año siguiente de su lanzamiento. El objetivo final consiste en extraer tendencias que apunten a prácticas paradigmáticas para el mantenimiento de una relación de engagement a través de Twitter en un servicio de video bajo demanda.","author":[{"dropping-particle":"","family":"Herrero Subías","given":"Mónica","non-dropping-particle":"","parse-names":false,"suffix":""},{"dropping-particle":"","family":"Urgellés Molina","given":"Alicia","non-dropping-particle":"","parse-names":false,"suffix":""}],"container-title":"Revista Comhumanitas","id":"ITEM-1","issue":"2","issued":{"date-parts":[["2018"]]},"page":"175-191","title":"Generación de engagement con un servicio de vídeo bajo demanda en Twitter. El caso de Netflix España","type":"article-journal","volume":"9"},"uris":["http://www.mendeley.com/documents/?uuid=9b5c7665-b171-429d-9318-630b5e5a11dd"]},{"id":"ITEM-2","itemData":{"DOI":"10.3145/epi.2018.nov.12","ISBN":"0000000310","ISSN":"1386-6710","abstract":"Resumen: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Información","id":"ITEM-2","issue":"6","issued":{"date-parts":[["2018"]]},"page":"1292","title":"La estrategia de engagement de Netflix España en Twitter","type":"article-journal","volume":"27"},"uris":["http://www.mendeley.com/documents/?uuid=8dcc95d0-fef3-455b-ba0c-5a9c17ea0c53"]},{"id":"ITEM-3","itemData":{"DOI":"10.1080/16522354.2018.1481711","ISSN":"16522354","abstract":"The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Studies","id":"ITEM-3","issue":"2","issued":{"date-parts":[["2018"]]},"page":"127-146","publisher":"Routledge","title":"Connecting with audiences in new markets: Netflix´s Twitter strategy in Spain","type":"article-journal","volume":"15"},"uris":["http://www.mendeley.com/documents/?uuid=fc5dea6f-1186-46f4-b852-8cb84dbc140d"]}],"mendeley":{"formattedCitation":"(Fernández-Gómez &amp; Martín-Quevedo, 2018b, 2018a; Herrero Subías &amp; Urgellés Molina, 2018)","plainTextFormattedCitation":"(Fernández-Gómez &amp; Martín-Quevedo, 2018b, 2018a; Herrero Subías &amp; Urgellés Molina, 2018)","previouslyFormattedCitation":"(Fernández-Gómez &amp; Martín-Quevedo, 2018b, 2018a; Herrero Subías &amp; Urgellés Molina, 2018)"},"properties":{"noteIndex":0},"schema":"https://github.com/citation-style-language/schema/raw/master/csl-citation.json"}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(Fernández-Gómez &amp; Martín-Quevedo, 2018b, 2018a; Herrero Subías &amp; Urgellés Molina,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pero también oportunidades y ventajas relacionadas con las características de la propia audiencia y de las redes sociales. Efectivamente 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representa para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y su sector, a un público objetivo predispuesto a convertirse en </w:t>
      </w:r>
      <w:proofErr w:type="spellStart"/>
      <w:r w:rsidRPr="00F21E9C">
        <w:rPr>
          <w:rFonts w:ascii="Tahoma" w:eastAsia="Times" w:hAnsi="Tahoma" w:cs="Tahoma"/>
          <w:i/>
          <w:iCs/>
          <w:sz w:val="24"/>
          <w:szCs w:val="24"/>
        </w:rPr>
        <w:t>prosumer</w:t>
      </w:r>
      <w:proofErr w:type="spellEnd"/>
      <w:r w:rsidRPr="00F21E9C">
        <w:rPr>
          <w:rFonts w:ascii="Tahoma" w:eastAsia="Times" w:hAnsi="Tahoma" w:cs="Tahoma"/>
          <w:sz w:val="24"/>
          <w:szCs w:val="24"/>
        </w:rPr>
        <w:t xml:space="preserve"> y </w:t>
      </w:r>
      <w:proofErr w:type="spellStart"/>
      <w:r w:rsidRPr="00F21E9C">
        <w:rPr>
          <w:rFonts w:ascii="Tahoma" w:eastAsia="Times" w:hAnsi="Tahoma" w:cs="Tahoma"/>
          <w:i/>
          <w:iCs/>
          <w:sz w:val="24"/>
          <w:szCs w:val="24"/>
        </w:rPr>
        <w:t>adprosumer</w:t>
      </w:r>
      <w:proofErr w:type="spellEnd"/>
      <w:r w:rsidRPr="00F21E9C">
        <w:rPr>
          <w:rFonts w:ascii="Tahoma" w:eastAsia="Times" w:hAnsi="Tahoma" w:cs="Tahoma"/>
          <w:i/>
          <w:iCs/>
          <w:sz w:val="24"/>
          <w:szCs w:val="24"/>
        </w:rPr>
        <w:t xml:space="preserve"> </w:t>
      </w:r>
      <w:r w:rsidRPr="00F21E9C">
        <w:rPr>
          <w:rFonts w:ascii="Tahoma" w:eastAsia="Times" w:hAnsi="Tahoma" w:cs="Tahoma"/>
          <w:i/>
          <w:iCs/>
          <w:sz w:val="24"/>
          <w:szCs w:val="24"/>
        </w:rPr>
        <w:fldChar w:fldCharType="begin" w:fldLock="1"/>
      </w:r>
      <w:r w:rsidRPr="00F21E9C">
        <w:rPr>
          <w:rFonts w:ascii="Tahoma" w:eastAsia="Times" w:hAnsi="Tahoma" w:cs="Tahoma"/>
          <w:i/>
          <w:iCs/>
          <w:sz w:val="24"/>
          <w:szCs w:val="24"/>
        </w:rPr>
        <w:instrText>ADDIN CSL_CITATION {"citationItems":[{"id":"ITEM-1","itemData":{"DOI":"10.3145/epi.2017.nov.13","ISBN":"0000000259835","ISSN":"1386-6710","abstract":"Fan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Información","id":"ITEM-1","issue":"6","issued":{"date-parts":[["2017"]]},"page":"1139","title":"Comunidades de fans y ficción televisiva. Estudio de caso: El ministerio del tiempo (TVE)","type":"article-journal","volume":"26"},"uris":["http://www.mendeley.com/documents/?uuid=4d95a773-0bf3-41f2-b03f-94fe0e38dab0"]}],"mendeley":{"formattedCitation":"(Torregrosa-Carmona &amp; Rodríguez-Gómez, 2017)","plainTextFormattedCitation":"(Torregrosa-Carmona &amp; Rodríguez-Gómez, 2017)","previouslyFormattedCitation":"(Torregrosa-Carmona &amp; Rodríguez-Gómez, 2017)"},"properties":{"noteIndex":0},"schema":"https://github.com/citation-style-language/schema/raw/master/csl-citation.json"}</w:instrText>
      </w:r>
      <w:r w:rsidRPr="00F21E9C">
        <w:rPr>
          <w:rFonts w:ascii="Tahoma" w:eastAsia="Times" w:hAnsi="Tahoma" w:cs="Tahoma"/>
          <w:i/>
          <w:iCs/>
          <w:sz w:val="24"/>
          <w:szCs w:val="24"/>
        </w:rPr>
        <w:fldChar w:fldCharType="separate"/>
      </w:r>
      <w:r w:rsidRPr="00F21E9C">
        <w:rPr>
          <w:rFonts w:ascii="Tahoma" w:eastAsia="Times" w:hAnsi="Tahoma" w:cs="Tahoma"/>
          <w:iCs/>
          <w:noProof/>
          <w:sz w:val="24"/>
          <w:szCs w:val="24"/>
        </w:rPr>
        <w:t>(Torregrosa-Carmona &amp; Rodríguez-Gómez, 2017)</w:t>
      </w:r>
      <w:r w:rsidRPr="00F21E9C">
        <w:rPr>
          <w:rFonts w:ascii="Tahoma" w:eastAsia="Times" w:hAnsi="Tahoma" w:cs="Tahoma"/>
          <w:i/>
          <w:iCs/>
          <w:sz w:val="24"/>
          <w:szCs w:val="24"/>
        </w:rPr>
        <w:fldChar w:fldCharType="end"/>
      </w:r>
      <w:r w:rsidRPr="00F21E9C">
        <w:rPr>
          <w:rFonts w:ascii="Tahoma" w:eastAsia="Times" w:hAnsi="Tahoma" w:cs="Tahoma"/>
          <w:i/>
          <w:iCs/>
          <w:sz w:val="24"/>
          <w:szCs w:val="24"/>
        </w:rPr>
        <w:t xml:space="preserve"> </w:t>
      </w:r>
      <w:r w:rsidRPr="00F21E9C">
        <w:rPr>
          <w:rFonts w:ascii="Tahoma" w:eastAsia="Times" w:hAnsi="Tahoma" w:cs="Tahoma"/>
          <w:sz w:val="24"/>
          <w:szCs w:val="24"/>
        </w:rPr>
        <w:t>y este estudio se  centra, precisamente, en verificar el potencial de este fenómeno en dos  redes  sociales: Twitter e Instagram.</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Así mismo se parte de la premisa de que  los adolescentes, principales seguidores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conforman un mercado de enormes posibilidades comunicacionales y  relacionales para las marcas por su comportamiento natural en las redes sociales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{"citationItems":[{"id":"ITEM-1","itemData":{"ISSN":"1134-3478","abstract":"los profundos cambios acaecidos en la configuración del contexto mediático en los últimos tiempos han generado cambios tanto en el medio televisivo como en las relaciones establecidas con él. es por ello que resulta necesario conocer cómo consumen la televisión los jóvenes actuales en aras de crear estrategias que ayuden a capacitarlos en la utilización de este medio. Con este fin, en esta investigación se han estudiado las pautas de consumo televisivo de 553 adolescentes (267 chicos y 286 chicas) de irlanda, españa y México, de edades comprendidas entre 14 y 19 años. Mediante la aplicación de dos cuestionarios (Ch-tv 0.2 y valtv 0.2) se han podido detectar cuatro pautas de consumo generalizables a todos los contextos estudiados. dos de estas pautas, diferencian el consumo entre hombres (Crítico-Cultural) y mujeres (social-Conversacional), siendo ellos los que realizan un consumo más cultural e informativo y ellas, más dirigido a entablar conversación con sus amistades. en lo que a las otras dos pautas se refiere, la percepción de un clima conflictivo (consumo Conflictivo-pasivo) o la de una mediación responsable (consumo Comprometido-positivo) son algunas de las variables que marcan las diferencias. además, se han detectado aquellos factores que presentan mayor poder discriminativo en la configuración de estas pautas, siendo la preferencia mostrada hacia los géneros televisivos el factor más discriminante entre los estudiados. sin embargo, la permanencia, el realismo percibido y el contexto cultural no han resultado ser determinantes.","author":[{"dropping-particle":"","family":"Ugalde Lujambio","given":"Leire","non-dropping-particle":"","parse-names":false,"suffix":""},{"dropping-particle":"","family":"Martínez","given":"Juan","non-dropping-particle":"","parse-names":false,"suffix":""},{"dropping-particle":"","family":"Medrano Samaniego","given":"María","non-dropping-particle":"","parse-names":false,"suffix":""}],"container-title":"Comunicar: Revista científica iberoamericana de comunicación y educación","id":"ITEM-1","issue":"50","issued":{"date-parts":[["2017"]]},"page":"67-76","title":"Pautas de consumo televisivo en adolescentes de la era digital: un estudio transcultural","type":"article-journal"},"uris":["http://www.mendeley.com/documents/?uuid=93e244c8-33eb-409e-97fe-35919487a116"]},{"id":"ITEM-2","itemData":{"DOI":"https://doi.org/10.14201/fjc201817193213","author":[{"dropping-particle":"","family":"Atarama-Rojas","given":"Tomás","non-dropping-particle":"","parse-names":false,"suffix":""},{"dropping-particle":"","family":"Requena Zapata","given":"Selene","non-dropping-particle":"","parse-names":false,"suffix":""}],"container-title":"Fonseca, Journal of Communication","id":"ITEM-2","issue":"17","issued":{"date-parts":[["2018"]]},"page":"193-213","title":"Narrativa Transmedia: Análisis de la participación de la audiencia en la serie 13 reasons why para la aproximación al tema del suicidio","type":"article-journal"},"uris":["http://www.mendeley.com/documents/?uuid=0115c759-f843-44f4-bb6b-80a3328d7359"]}],"mendeley":{"formattedCitation":"(Atarama-Rojas &amp; Requena Zapata, 2018; Ugalde Lujambio et al., 2017)","plainTextFormattedCitation":"(Atarama-Rojas &amp; Requena Zapata, 2018; Ugalde Lujambio et al., 2017)","previouslyFormattedCitation":"(Atarama-Rojas &amp; Requena Zapata, 2018; Ugalde Lujambio et al.,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 xml:space="preserve">(Atarama-Rojas &amp; Requena Zapata, 2018; Ugalde Lujambio </w:t>
      </w:r>
      <w:r w:rsidRPr="00672817">
        <w:rPr>
          <w:rFonts w:ascii="Tahoma" w:eastAsia="Times" w:hAnsi="Tahoma" w:cs="Tahoma"/>
          <w:i/>
          <w:iCs/>
          <w:noProof/>
          <w:sz w:val="24"/>
          <w:szCs w:val="24"/>
        </w:rPr>
        <w:t>et al.</w:t>
      </w:r>
      <w:r w:rsidRPr="00F21E9C">
        <w:rPr>
          <w:rFonts w:ascii="Tahoma" w:eastAsia="Times" w:hAnsi="Tahoma" w:cs="Tahoma"/>
          <w:noProof/>
          <w:sz w:val="24"/>
          <w:szCs w:val="24"/>
        </w:rPr>
        <w:t>,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Respecto de estos canales, se ha escogido Twitter por ser el más utilizada con relación al consumo </w:t>
      </w:r>
      <w:proofErr w:type="spellStart"/>
      <w:r w:rsidRPr="00F21E9C">
        <w:rPr>
          <w:rFonts w:ascii="Tahoma" w:eastAsia="Times" w:hAnsi="Tahoma" w:cs="Tahoma"/>
          <w:sz w:val="24"/>
          <w:szCs w:val="24"/>
        </w:rPr>
        <w:t>multipantalla</w:t>
      </w:r>
      <w:proofErr w:type="spellEnd"/>
      <w:r w:rsidRPr="00F21E9C">
        <w:rPr>
          <w:rFonts w:ascii="Tahoma" w:eastAsia="Times" w:hAnsi="Tahoma" w:cs="Tahoma"/>
          <w:sz w:val="24"/>
          <w:szCs w:val="24"/>
        </w:rPr>
        <w:t xml:space="preserve"> </w:t>
      </w:r>
      <w:bookmarkStart w:id="3" w:name="_Hlk53419720"/>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{"citationItems":[{"id":"ITEM-1","itemData":{"DOI":"10.3145/epi.2015.may.03","ISSN":"16992407","abstract":"One of the most important trends in current television research has to do with the increasing impact of social media on viewing and consumption. This article reviews the literature on social media and television included in the Web of Science database from 2005 to 2013 in order to find the main research questions guiding academic research within media studies. The topics investigated included the theoretical approach and definition of social television, the central role of Twitter as the main social tool for second-screen activities, the prominence of \"reality TV\" as the most social genre on television, and new mainstream forms of television fandom. The conclusion of this article reflects on possible limitations of these studies and new paths of research.","author":[{"dropping-particle":"","family":"Segado-Boj","given":"Francisco","non-dropping-particle":"","parse-names":false,"suffix":""},{"dropping-particle":"","family":"Grandío","given":"María Del Mar","non-dropping-particle":"","parse-names":false,"suffix":""},{"dropping-particle":"","family":"Fernández-Gómez","given":"Erika","non-dropping-particle":"","parse-names":false,"suffix":""}],"container-title":"Profesional de la Informacion","id":"ITEM-1","issue":"3","issued":{"date-parts":[["2015"]]},"page":"227-234","title":"Social media and television: A bibliographic review based on the web of science","type":"article-journal","volume":"24"},"uris":["http://www.mendeley.com/documents/?uuid=3dd92780-d01e-456b-adb2-1d89f9c0c40c"]},{"id":"ITEM-2","itemData":{"author":[{"dropping-particle":"","family":"Harrington","given":"Stephen","non-dropping-particle":"","parse-names":false,"suffix":""}],"container-title":"Twitter and Society","editor":[{"dropping-particle":"","family":"Weller","given":"Katrin","non-dropping-particle":"","parse-names":false,"suffix":""},{"dropping-particle":"","family":"Bruns","given":"Axel","non-dropping-particle":"","parse-names":false,"suffix":""},{"dropping-particle":"","family":"Burgess","given":"Jean","non-dropping-particle":"","parse-names":false,"suffix":""},{"dropping-particle":"","family":"Mahrt","given":"Merja","non-dropping-particle":"","parse-names":false,"suffix":""},{"dropping-particle":"","family":"Puschmann","given":"Cornelius","non-dropping-particle":"","parse-names":false,"suffix":""}],"id":"ITEM-2","issued":{"date-parts":[["2014"]]},"page":"237-247","publisher":"Peter Lang","publisher-place":"New York","title":"Tweeting about the Telly: Live TV, Audiences, and Social Media","type":"chapter"},"uris":["http://www.mendeley.com/documents/?uuid=b8042391-8ea8-4117-aa12-a1011f4ef78f"]},{"id":"ITEM-3","itemData":{"DOI":"10.3145/epi.2017.nov.13","ISBN":"0000000259835","ISSN":"1386-6710","abstract":"Fan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Información","id":"ITEM-3","issue":"6","issued":{"date-parts":[["2017"]]},"page":"1139","title":"Comunidades de fans y ficción televisiva. Estudio de caso: El ministerio del tiempo (TVE)","type":"article-journal","volume":"26"},"uris":["http://www.mendeley.com/documents/?uuid=4d95a773-0bf3-41f2-b03f-94fe0e38dab0"]}],"mendeley":{"formattedCitation":"(Harrington, 2014; Segado-Boj et al., 2015; Torregrosa-Carmona &amp; Rodríguez-Gómez, 2017)","plainTextFormattedCitation":"(Harrington, 2014; Segado-Boj et al., 2015; Torregrosa-Carmona &amp; Rodríguez-Gómez, 2017)","previouslyFormattedCitation":"(Harrington, 2014; Segado-Boj et al., 2015;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1B59BD">
        <w:rPr>
          <w:rFonts w:ascii="Tahoma" w:eastAsia="Times" w:hAnsi="Tahoma" w:cs="Tahoma"/>
          <w:noProof/>
          <w:sz w:val="24"/>
          <w:szCs w:val="24"/>
        </w:rPr>
        <w:t xml:space="preserve">(Harrington, 2014; Segado-Boj </w:t>
      </w:r>
      <w:r w:rsidRPr="00672817">
        <w:rPr>
          <w:rFonts w:ascii="Tahoma" w:eastAsia="Times" w:hAnsi="Tahoma" w:cs="Tahoma"/>
          <w:i/>
          <w:noProof/>
          <w:sz w:val="24"/>
          <w:szCs w:val="24"/>
        </w:rPr>
        <w:t>et al.</w:t>
      </w:r>
      <w:r w:rsidRPr="001B59BD">
        <w:rPr>
          <w:rFonts w:ascii="Tahoma" w:eastAsia="Times" w:hAnsi="Tahoma" w:cs="Tahoma"/>
          <w:noProof/>
          <w:sz w:val="24"/>
          <w:szCs w:val="24"/>
        </w:rPr>
        <w:t>, 2015; Torregrosa-Carmona &amp; Rodríguez-Gómez,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y para la difusión de </w:t>
      </w:r>
      <w:proofErr w:type="spellStart"/>
      <w:r w:rsidRPr="00F21E9C">
        <w:rPr>
          <w:rFonts w:ascii="Tahoma" w:eastAsia="Times" w:hAnsi="Tahoma" w:cs="Tahoma"/>
          <w:i/>
          <w:iCs/>
          <w:sz w:val="24"/>
          <w:szCs w:val="24"/>
        </w:rPr>
        <w:t>fanmade</w:t>
      </w:r>
      <w:proofErr w:type="spellEnd"/>
      <w:r w:rsidRPr="00F21E9C">
        <w:rPr>
          <w:rFonts w:ascii="Tahoma" w:eastAsia="Times" w:hAnsi="Tahoma" w:cs="Tahoma"/>
          <w:sz w:val="24"/>
          <w:szCs w:val="24"/>
        </w:rPr>
        <w:t xml:space="preserve">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Información","id":"ITEM-1","issue":"6","issued":{"date-parts":[["2017"]]},"page":"1139","title":"Comunidades de fans y ficción televisiva. Estudio de caso: El ministerio del tiempo (TVE)","type":"article-journal","volume":"26"},"uris":["http://www.mendeley.com/documents/?uuid=4d95a773-0bf3-41f2-b03f-94fe0e38dab0"]},{"id":"ITEM-2","itemData":{"ISBN":"978 8415589310","author":[{"dropping-particle":"","family":"Marcos","given":"Natalia","non-dropping-particle":"","parse-names":false,"suffix":""}],"container-title":"Dentro de El ministerio del tiempo","editor":[{"dropping-particle":"","family":"Cascajosa-Virino","given":"Concepción","non-dropping-particle":"","parse-names":false,"suffix":""}],"id":"ITEM-2","issued":{"date-parts":[["2015"]]},"page":"199-202","publisher":"Léeme Libros","publisher-place":"Alcalá de Henares","title":"Una serie para la generación Twitter","type":"chapter"},"uris":["http://www.mendeley.com/documents/?uuid=4aa3e5d2-9cae-4f07-a6c7-1e717a120be6"]}],"mendeley":{"formattedCitation":"(Marcos, 2015; Torregrosa-Carmona &amp; Rodríguez-Gómez, 2017)","plainTextFormattedCitation":"(Marcos, 2015; Torregrosa-Carmona &amp; Rodríguez-Gómez, 2017)","previouslyFormattedCitation":"(Marcos, 2015;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(Marcos, 2015; Torregrosa-Carmona &amp; Rodríguez-Gómez, 2017)</w:t>
      </w:r>
      <w:r w:rsidRPr="00F21E9C">
        <w:rPr>
          <w:rFonts w:ascii="Tahoma" w:eastAsia="Times" w:hAnsi="Tahoma" w:cs="Tahoma"/>
          <w:sz w:val="24"/>
          <w:szCs w:val="24"/>
        </w:rPr>
        <w:fldChar w:fldCharType="end"/>
      </w:r>
      <w:bookmarkEnd w:id="3"/>
      <w:r w:rsidRPr="00F21E9C">
        <w:rPr>
          <w:rFonts w:ascii="Tahoma" w:eastAsia="Times" w:hAnsi="Tahoma" w:cs="Tahoma"/>
          <w:sz w:val="24"/>
          <w:szCs w:val="24"/>
        </w:rPr>
        <w:t xml:space="preserve">. Además, el modelo de amistad dirigida en el que se fundamenta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{"citationItems":[{"id":"ITEM-1","itemData":{"DOI":"10.1177/1354856510394539","author":[{"dropping-particle":"","family":"Marwick","given":"Alice E.","non-dropping-particle":"","parse-names":false,"suffix":""},{"dropping-particle":"","family":"Boyd","given":"Danah","non-dropping-particle":"","parse-names":false,"suffix":""}],"container-title":"Convergence: The International Journal of Research into New Media Technologies","id":"ITEM-1","issue":"2","issued":{"date-parts":[["2011"]]},"page":"139-158","title":"To see and be seen: Celebrity Practice on Twitter","type":"article-journal","volume":"17"},"uris":["http://www.mendeley.com/documents/?uuid=8806bf37-705e-46df-9bf4-e3cb2fccca51"]},{"id":"ITEM-2","itemData":{"DOI":"https://doi.org/10.1177/1461444810365313","author":[{"dropping-particle":"","family":"Marwick","given":"Alice E.","non-dropping-particle":"","parse-names":false,"suffix":""},{"dropping-particle":"","family":"Boyd","given":"Danah","non-dropping-particle":"","parse-names":false,"suffix":""}],"container-title":"New Media &amp; Society","id":"ITEM-2","issue":"1","issued":{"date-parts":[["2011"]]},"page":"114-133","title":"I tweet honestly, I tweet passionately: Twitter users, context collapse, and the imagined audience","type":"article-journal","volume":"13"},"uris":["http://www.mendeley.com/documents/?uuid=688120a8-c4ba-439f-9d99-c5cd91fd2240"]}],"mendeley":{"formattedCitation":"(Marwick &amp; Boyd, 2011b, 2011a)","plainTextFormattedCitation":"(Marwick &amp; Boyd, 2011b, 2011a)","previouslyFormattedCitation":"(Marwick &amp; Boyd, 2011b, 2011a)"},"properties":{"noteIndex":0},"schema":"https://github.com/citation-style-language/schema/raw/master/csl-citation.json"}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(Marwick &amp; Boyd, 2011b, 2011a)</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implica, en el sector objeto de este estudio, que los </w:t>
      </w:r>
      <w:r w:rsidRPr="00F21E9C">
        <w:rPr>
          <w:rFonts w:ascii="Tahoma" w:eastAsia="Times" w:hAnsi="Tahoma" w:cs="Tahoma"/>
          <w:i/>
          <w:iCs/>
          <w:sz w:val="24"/>
          <w:szCs w:val="24"/>
        </w:rPr>
        <w:t xml:space="preserve">fans </w:t>
      </w:r>
      <w:r w:rsidRPr="00F21E9C">
        <w:rPr>
          <w:rFonts w:ascii="Tahoma" w:eastAsia="Times" w:hAnsi="Tahoma" w:cs="Tahoma"/>
          <w:sz w:val="24"/>
          <w:szCs w:val="24"/>
        </w:rPr>
        <w:t xml:space="preserve">lo usen para informarse acerca de las series y compartir y comentar estos contenidos sin esperar una continuidad a la comunicación que han iniciado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Información","id":"ITEM-1","issue":"6","issued":{"date-parts":[["2017"]]},"page":"1139","title":"Comunidades de fans y ficción televisiva. Estudio de caso: El ministerio del tiempo (TVE)","type":"article-journal","volume":"26"},"uris":["http://www.mendeley.com/documents/?uuid=4d95a773-0bf3-41f2-b03f-94fe0e38dab0"]},{"id":"ITEM-2","itemData":{"DOI":"10.1177/1527476417728376","ISSN":"15528316","abstract":"In the current participatory television environment, social media serves both a social backchannel for interactions between audience members and a direct line of communication between audiences and production. Because audience activity on social media becomes part of the media brand, it is a priority for the industry to achieve some level of control/influence on that activity. In this article, I discuss writers’ room Twitter accounts as a space used to model and reinforce fan behavior that serves industry interests, arguing that these accounts serve industry needs through the behaviors they promote and recognize. Through analysis of three writers’ room Twitter accounts—for Jane the Virgin, Faking It, and Orange Is the New Black—I show how this process works, as well as the ways in which a show’s individual industrial context shapes the type of fan that is hailed.","author":[{"dropping-particle":"","family":"Navar-Gill","given":"Annemarie","non-dropping-particle":"","parse-names":false,"suffix":""}],"container-title":"Television and New Media","id":"ITEM-2","issue":"5","issued":{"date-parts":[["2018"]]},"page":"415-430","title":"From Strategic Retweets to Group Hangs: Writers’ Room Twitter Accounts and the Productive Ecosystem of TV Social Media Fans","type":"article-journal","volume":"19"},"uris":["http://www.mendeley.com/documents/?uuid=e15ca9b6-af23-4d2a-9b67-7f33aabc63b5"]}],"mendeley":{"formattedCitation":"(Navar-Gill, 2018; Torregrosa-Carmona &amp; Rodríguez-Gómez, 2017)","plainTextFormattedCitation":"(Navar-Gill, 2018; Torregrosa-Carmona &amp; Rodríguez-Gómez, 2017)","previouslyFormattedCitation":"(Navar-Gill, 2018;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(Navar-Gill, 2018; Torregrosa-Carmona &amp; Rodríguez-Gómez,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focalizando la consecución del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en los contenidos. Esto facilita la fidelización de la audiencia y 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{"citationItems":[{"id":"ITEM-1","itemData":{"DOI":"https://doi.org/10.31207/rch.v9i2.172","abstract":"Las cadenas de televisión han visto en el uso de las redes sociales una oportunidad para favorecer la relación con sus audiencias y conocerlas mejor, y esto ha sido objeto de interés de la profesión y la academia. También lo ha sido el uso de Twitter como parte de su estrategia de comunicación. El desarrollo de los servicios audiovisuales bajo demanda, que alteran los patrones de consumo tradicional, sugiere un marco diferente en estudio del uso de las redes sociales, Twitter en particular. El objetivo de este estudio es el análisis del discurso que mantiene Netflix en la red social Twitter. Nos preguntamos cómo se relaciona la marca con los consumidores fuera de su canal propio –su aplicación, su plataforma-. Es decir, qué tipo de conversaciones mantiene en un espacio público, si lo hace; en qué se centran esas conversaciones y cuál es el peso de los contenidos de su catálogo en ellas. Para ello, combinaremos la creación de un marco teórico para la comprensión del uso de Twitter en un servicio de video bajo demanda con el estudio del caso de Netflix España centrándonos en un mes concreto al año siguiente de su lanzamiento. El objetivo final consiste en extraer tendencias que apunten a prácticas paradigmáticas para el mantenimiento de una relación de engagement a través de Twitter en un servicio de video bajo demanda.","author":[{"dropping-particle":"","family":"Herrero Subías","given":"Mónica","non-dropping-particle":"","parse-names":false,"suffix":""},{"dropping-particle":"","family":"Urgellés Molina","given":"Alicia","non-dropping-particle":"","parse-names":false,"suffix":""}],"container-title":"Revista Comhumanitas","id":"ITEM-1","issue":"2","issued":{"date-parts":[["2018"]]},"page":"175-191","title":"Generación de engagement con un servicio de vídeo bajo demanda en Twitter. El caso de Netflix España","type":"article-journal","volume":"9"},"uris":["http://www.mendeley.com/documents/?uuid=9b5c7665-b171-429d-9318-630b5e5a11dd"]}],"mendeley":{"formattedCitation":"(Herrero Subías &amp; Urgellés Molina, 2018)","plainTextFormattedCitation":"(Herrero Subías &amp; Urgellés Molina, 2018)","previouslyFormattedCitation":"(Herrero Subías &amp; Urgellés Molina, 2018)"},"properties":{"noteIndex":0},"schema":"https://github.com/citation-style-language/schema/raw/master/csl-citation.json"}</w:instrText>
      </w:r>
      <w:r w:rsidRPr="00F21E9C">
        <w:rPr>
          <w:rFonts w:ascii="Tahoma" w:eastAsia="Times" w:hAnsi="Tahoma" w:cs="Tahoma"/>
          <w:sz w:val="24"/>
          <w:szCs w:val="24"/>
        </w:rPr>
        <w:fldChar w:fldCharType="separate"/>
      </w:r>
      <w:r w:rsidRPr="004B212F">
        <w:rPr>
          <w:rFonts w:ascii="Tahoma" w:eastAsia="Times" w:hAnsi="Tahoma" w:cs="Tahoma"/>
          <w:noProof/>
          <w:sz w:val="24"/>
          <w:szCs w:val="24"/>
        </w:rPr>
        <w:t>(Herrero Subías &amp; Urgellés Molina,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ya que su gestión es controlable por las marcas.  La inclusión de Instagram se debe a que el público principal objeto de esta investigación: los adolescentes, un segmento crucial para medir el efecto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televisivo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{"citationItems":[{"id":"ITEM-1","itemData":{"ISSN":"2444-0132","abstract":"This article aims to analyze the audiovisual consumption patterns of 12 to 16 year-old adolescents, with particular emphasis on the television fiction contents. In order to understand the role of television series in the era of audiovisual digitization, we have analyzed the preferences, motivations and practices of the adolescents. The study presents quantitative and qualitative data collected in 2011, two years after the digital switchover of television at the study area. This period is considered as the beginning of the digital era, and is characterized by new ways of audiovisual production, transmission and consumption, which have been considered. Questionnaires filled by 852 adolescents, as well as 26 interviews and 16 social network profiles, have been analyzed. The results showed that although consumption of fiction content is closely related to traditional television consumption practices, new expressions and experiences have arisen through the Internet. KEY WORDS television, television digitalization, audiovisual media, adolescents, TV series RESUMEN El presente artículo tiene como objetivo analizar los patrones de consumo audiovisual de los adolescentes de entre 12 y 16 años, haciendo especial hincapié en los contenidos de ficción televisiva. Con el fin de entender el rol de las series de televisión en la era de la digitalización audiovisual, se han analizado las preferencias audiovisuales de estos adolescentes y sus motivaciones, así como sus prácticas alrededor de estos contenidos. En esta investigación se exponen datos cuantitativos y cualitativos recogidos en 2011, años posteriores al apagón analógico de la televisión y que marcan el comienzo de una nueva era audiovisual con nuevas particularidades en la producción, emisión y consumo de contenidos audiovisuales. Se analizan los cuestionarios de 852 adolescentes, así como 26 entrevistas en profundidad y 16 perfiles de la red social Tuenti, con el fin de radiografiar los usos que los jóvenes realizan alrededor de las series de televisión. Los resultados demuestran que, aunque el consumo de contenidos de ficción está estrechamente relacionado con prácticas tradicionales de consumo televisivo, han surgido nuevas expresiones y experiencias a través de Internet. PALABRAS CLAVE televisión, digitalización televisiva, audiovisual, adolescencia, series de televsión Consumo de series de televisión de los adolescentes en la era de la digitalización audiovisual: prácticas y motivaciones","author":[{"dropping-particle":"","family":"Pavón-Arrizabalaga","given":"Amaia","non-dropping-particle":"","parse-names":false,"suffix":""},{"dropping-particle":"","family":"Zuberogoitia","given":"Aitor","non-dropping-particle":"","parse-names":false,"suffix":""},{"dropping-particle":"","family":"Astigarraga","given":"Idoia","non-dropping-particle":"","parse-names":false,"suffix":""},{"dropping-particle":"","family":"Unibertsitatea","given":"Mondragon","non-dropping-particle":"","parse-names":false,"suffix":""},{"dropping-particle":"","family":"Juaristi","given":"Patxi","non-dropping-particle":"","parse-names":false,"suffix":""}],"container-title":"Dígitos, Revista de Comunicación Digital","id":"ITEM-1","issue":"2","issued":{"date-parts":[["2016"]]},"note":"Teenagers ’ Consumption of TV Series in the Era of TV Digitalization : Uses and Gratifications","page":"35-52","title":"Consumo de series de televisión de los adolescentes en la era de la digitalización audiovisual : prácticas y motivaciones","type":"article-journal","volume":"2"},"uris":["http://www.mendeley.com/documents/?uuid=b7733e95-d617-4430-a7a3-fd9ee8dd4dfa"]},{"id":"ITEM-2","itemData":{"ISSN":"1134-3478","abstract":"los profundos cambios acaecidos en la configuración del contexto mediático en los últimos tiempos han generado cambios tanto en el medio televisivo como en las relaciones establecidas con él. es por ello que resulta necesario conocer cómo consumen la televisión los jóvenes actuales en aras de crear estrategias que ayuden a capacitarlos en la utilización de este medio. Con este fin, en esta investigación se han estudiado las pautas de consumo televisivo de 553 adolescentes (267 chicos y 286 chicas) de irlanda, españa y México, de edades comprendidas entre 14 y 19 años. Mediante la aplicación de dos cuestionarios (Ch-tv 0.2 y valtv 0.2) se han podido detectar cuatro pautas de consumo generalizables a todos los contextos estudiados. dos de estas pautas, diferencian el consumo entre hombres (Crítico-Cultural) y mujeres (social-Conversacional), siendo ellos los que realizan un consumo más cultural e informativo y ellas, más dirigido a entablar conversación con sus amistades. en lo que a las otras dos pautas se refiere, la percepción de un clima conflictivo (consumo Conflictivo-pasivo) o la de una mediación responsable (consumo Comprometido-positivo) son algunas de las variables que marcan las diferencias. además, se han detectado aquellos factores que presentan mayor poder discriminativo en la configuración de estas pautas, siendo la preferencia mostrada hacia los géneros televisivos el factor más discriminante entre los estudiados. sin embargo, la permanencia, el realismo percibido y el contexto cultural no han resultado ser determinantes.","author":[{"dropping-particle":"","family":"Ugalde Lujambio","given":"Leire","non-dropping-particle":"","parse-names":false,"suffix":""},{"dropping-particle":"","family":"Martínez","given":"Juan","non-dropping-particle":"","parse-names":false,"suffix":""},{"dropping-particle":"","family":"Medrano Samaniego","given":"María","non-dropping-particle":"","parse-names":false,"suffix":""}],"container-title":"Comunicar: Revista científica iberoamericana de comunicación y educación","id":"ITEM-2","issue":"50","issued":{"date-parts":[["2017"]]},"page":"67-76","title":"Pautas de consumo televisivo en adolescentes de la era digital: un estudio transcultural","type":"article-journal"},"uris":["http://www.mendeley.com/documents/?uuid=93e244c8-33eb-409e-97fe-35919487a116"]}],"mendeley":{"formattedCitation":"(Pavón-Arrizabalaga et al., 2016; Ugalde Lujambio et al., 2017)","plainTextFormattedCitation":"(Pavón-Arrizabalaga et al., 2016; Ugalde Lujambio et al., 2017)","previouslyFormattedCitation":"(Pavón-Arrizabalaga et al., 2016; Ugalde Lujambio et al.,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 xml:space="preserve">(Pavón-Arrizabalaga </w:t>
      </w:r>
      <w:r w:rsidRPr="00672817">
        <w:rPr>
          <w:rFonts w:ascii="Tahoma" w:eastAsia="Times" w:hAnsi="Tahoma" w:cs="Tahoma"/>
          <w:i/>
          <w:iCs/>
          <w:noProof/>
          <w:sz w:val="24"/>
          <w:szCs w:val="24"/>
        </w:rPr>
        <w:t>et al.</w:t>
      </w:r>
      <w:r w:rsidRPr="00F21E9C">
        <w:rPr>
          <w:rFonts w:ascii="Tahoma" w:eastAsia="Times" w:hAnsi="Tahoma" w:cs="Tahoma"/>
          <w:noProof/>
          <w:sz w:val="24"/>
          <w:szCs w:val="24"/>
        </w:rPr>
        <w:t xml:space="preserve">, 2016; Ugalde Lujambio </w:t>
      </w:r>
      <w:r w:rsidRPr="00672817">
        <w:rPr>
          <w:rFonts w:ascii="Tahoma" w:eastAsia="Times" w:hAnsi="Tahoma" w:cs="Tahoma"/>
          <w:i/>
          <w:iCs/>
          <w:noProof/>
          <w:sz w:val="24"/>
          <w:szCs w:val="24"/>
        </w:rPr>
        <w:t>et al.</w:t>
      </w:r>
      <w:r w:rsidRPr="00F21E9C">
        <w:rPr>
          <w:rFonts w:ascii="Tahoma" w:eastAsia="Times" w:hAnsi="Tahoma" w:cs="Tahoma"/>
          <w:noProof/>
          <w:sz w:val="24"/>
          <w:szCs w:val="24"/>
        </w:rPr>
        <w:t>,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son además los principales consumidores de esta red social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{"citationItems":[{"id":"ITEM-1","itemData":{"DOI":"10.17851/1983-3652.13.1.20-44","ISSN":"19833652","abstract":"This study investigates the habits of adolescents concerning the consumption, production and creation on Instagram. We analyzed the types of interrelationships and interactions in this space, and, in turn, the personal identities negatively impacted by dangers, truths and lies. The research used a mixed methodology, by conducting a survey with 171 Spanish adolescents, and developing 17 interview groups with another 67. It was observed that adolescents consume multimedia content, however, they do not create more than the interactions in which they take part on Instagram. Their preferred interactions are with friends, influencers or YouTubers and family, with whom they communicate with stories, likes, direct messages and other comments. The existence of dangers was observed, such as harassment, exclusion and marginalization that lead to the subsequent blocking of certain profiles for their safety.","author":[{"dropping-particle":"","family":"Gil-Quintana","given":"Javier","non-dropping-particle":"","parse-names":false,"suffix":""},{"dropping-particle":"","family":"Amoros","given":"Manuel Fernández Galiano","non-dropping-particle":"","parse-names":false,"suffix":""}],"container-title":"Texto Livre","id":"ITEM-1","issue":"1","issued":{"date-parts":[["2020"]]},"page":"20-44","title":"Posts, interactions, truths and lies of Spanish adolescents on Instagram","type":"article-journal","volume":"13"},"uris":["http://www.mendeley.com/documents/?uuid=539ffe7b-2d6f-485e-aae3-c84c27889587"]}],"mendeley":{"formattedCitation":"(Gil-Quintana &amp; Amoros, 2020)","plainTextFormattedCitation":"(Gil-Quintana &amp; Amoros, 2020)","previouslyFormattedCitation":"(Gil-Quintana &amp; Amoros, 2020)"},"properties":{"noteIndex":0},"schema":"https://github.com/citation-style-language/schema/raw/master/csl-citation.json"}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(Gil-Quintana &amp; Amoros, 2020)</w:t>
      </w:r>
      <w:r w:rsidRPr="00F21E9C">
        <w:rPr>
          <w:rFonts w:ascii="Tahoma" w:eastAsia="Times" w:hAnsi="Tahoma" w:cs="Tahoma"/>
          <w:sz w:val="24"/>
          <w:szCs w:val="24"/>
        </w:rPr>
        <w:fldChar w:fldCharType="end"/>
      </w:r>
      <w:r w:rsidRPr="00F21E9C">
        <w:rPr>
          <w:rFonts w:ascii="Tahoma" w:eastAsia="Times" w:hAnsi="Tahoma" w:cs="Tahoma"/>
          <w:sz w:val="24"/>
          <w:szCs w:val="24"/>
        </w:rPr>
        <w:t>.</w:t>
      </w:r>
      <w:r>
        <w:rPr>
          <w:rFonts w:ascii="Tahoma" w:eastAsia="Times" w:hAnsi="Tahoma" w:cs="Tahoma"/>
          <w:sz w:val="24"/>
          <w:szCs w:val="24"/>
        </w:rPr>
        <w:t xml:space="preserve"> </w:t>
      </w:r>
      <w:r w:rsidRPr="00F21E9C">
        <w:rPr>
          <w:rFonts w:ascii="Tahoma" w:eastAsia="Times" w:hAnsi="Tahoma" w:cs="Tahoma"/>
          <w:sz w:val="24"/>
          <w:szCs w:val="24"/>
        </w:rPr>
        <w:t xml:space="preserve">La comparación entre ambas redes sociales contribuye al análisis de la incidencia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en la medida en la que Twitter es una de las redes sociales  preferidas  con relación al consumo de  productos audiovisuales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{"citationItems":[{"id":"ITEM-1","itemData":{"DOI":"10.3145/epi.2015.may.03","ISSN":"16992407","abstract":"One of the most important trends in current television research has to do with the increasing impact of social media on viewing and consumption. This article reviews the literature on social media and television included in the Web of Science database from 2005 to 2013 in order to find the main research questions guiding academic research within media studies. The topics investigated included the theoretical approach and definition of social television, the central role of Twitter as the main social tool for second-screen activities, the prominence of \"reality TV\" as the most social genre on television, and new mainstream forms of television fandom. The conclusion of this article reflects on possible limitations of these studies and new paths of research.","author":[{"dropping-particle":"","family":"Segado-Boj","given":"Francisco","non-dropping-particle":"","parse-names":false,"suffix":""},{"dropping-particle":"","family":"Grandío","given":"María Del Mar","non-dropping-particle":"","parse-names":false,"suffix":""},{"dropping-particle":"","family":"Fernández-Gómez","given":"Erika","non-dropping-particle":"","parse-names":false,"suffix":""}],"container-title":"Profesional de la Informacion","id":"ITEM-1","issue":"3","issued":{"date-parts":[["2015"]]},"page":"227-234","title":"Social media and television: A bibliographic review based on the web of science","type":"article-journal","volume":"24"},"uris":["http://www.mendeley.com/documents/?uuid=3dd92780-d01e-456b-adb2-1d89f9c0c40c"]},{"id":"ITEM-2","itemData":{"author":[{"dropping-particle":"","family":"Harrington","given":"Stephen","non-dropping-particle":"","parse-names":false,"suffix":""}],"container-title":"Twitter and Society","editor":[{"dropping-particle":"","family":"Weller","given":"Katrin","non-dropping-particle":"","parse-names":false,"suffix":""},{"dropping-particle":"","family":"Bruns","given":"Axel","non-dropping-particle":"","parse-names":false,"suffix":""},{"dropping-particle":"","family":"Burgess","given":"Jean","non-dropping-particle":"","parse-names":false,"suffix":""},{"dropping-particle":"","family":"Mahrt","given":"Merja","non-dropping-particle":"","parse-names":false,"suffix":""},{"dropping-particle":"","family":"Puschmann","given":"Cornelius","non-dropping-particle":"","parse-names":false,"suffix":""}],"id":"ITEM-2","issued":{"date-parts":[["2014"]]},"page":"237-247","publisher":"Peter Lang","publisher-place":"New York","title":"Tweeting about the Telly: Live TV, Audiences, and Social Media","type":"chapter"},"uris":["http://www.mendeley.com/documents/?uuid=b8042391-8ea8-4117-aa12-a1011f4ef78f"]},{"id":"ITEM-3","itemData":{"DOI":"10.3145/epi.2017.nov.13","ISBN":"0000000259835","ISSN":"1386-6710","abstract":"Fan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Información","id":"ITEM-3","issue":"6","issued":{"date-parts":[["2017"]]},"page":"1139","title":"Comunidades de fans y ficción televisiva. Estudio de caso: El ministerio del tiempo (TVE)","type":"article-journal","volume":"26"},"uris":["http://www.mendeley.com/documents/?uuid=4d95a773-0bf3-41f2-b03f-94fe0e38dab0"]}],"mendeley":{"formattedCitation":"(Harrington, 2014; Segado-Boj et al., 2015; Torregrosa-Carmona &amp; Rodríguez-Gómez, 2017)","plainTextFormattedCitation":"(Harrington, 2014; Segado-Boj et al., 2015; Torregrosa-Carmona &amp; Rodríguez-Gómez, 2017)","previouslyFormattedCitation":"(Harrington, 2014; Segado-Boj et al., 2015;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1B59BD">
        <w:rPr>
          <w:rFonts w:ascii="Tahoma" w:eastAsia="Times" w:hAnsi="Tahoma" w:cs="Tahoma"/>
          <w:noProof/>
          <w:sz w:val="24"/>
          <w:szCs w:val="24"/>
        </w:rPr>
        <w:t xml:space="preserve">(Harrington, 2014; Segado-Boj </w:t>
      </w:r>
      <w:r w:rsidRPr="00672817">
        <w:rPr>
          <w:rFonts w:ascii="Tahoma" w:eastAsia="Times" w:hAnsi="Tahoma" w:cs="Tahoma"/>
          <w:i/>
          <w:noProof/>
          <w:sz w:val="24"/>
          <w:szCs w:val="24"/>
        </w:rPr>
        <w:t>et al.</w:t>
      </w:r>
      <w:r w:rsidRPr="001B59BD">
        <w:rPr>
          <w:rFonts w:ascii="Tahoma" w:eastAsia="Times" w:hAnsi="Tahoma" w:cs="Tahoma"/>
          <w:noProof/>
          <w:sz w:val="24"/>
          <w:szCs w:val="24"/>
        </w:rPr>
        <w:t>, 2015; Torregrosa-Carmona &amp; Rodríguez-Gómez,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 Instagram, no  solo destaca en este mismo ámbito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{"citationItems":[{"id":"ITEM-1","itemData":{"ISBN":"978-84-608-4242-2","author":[{"dropping-particle":"","family":"Neira","given":"Elena","non-dropping-particle":"","parse-names":false,"suffix":""}],"chapter-number":"3","container-title":"La participación de la audiencia en la televisión: de la audiencia activa a la social","editor":[{"dropping-particle":"","family":"Quintas Froufe","given":"Natalia","non-dropping-particle":"","parse-names":false,"suffix":""},{"dropping-particle":"","family":"González Neira","given":"Ana","non-dropping-particle":"","parse-names":false,"suffix":""}],"id":"ITEM-1","issued":{"date-parts":[["2015"]]},"page":"47-59","publisher":"AIMC, Asociación para la Investigación de Medios de Comunicación","publisher-place":"Madrid","title":"Audiencia social:¿consiguen las redes sociales que veamos más televisión?","type":"chapter"},"uris":["http://www.mendeley.com/documents/?uuid=06c514d0-be12-4944-97ee-0baea6c0087e","http://www.mendeley.com/documents/?uuid=0462aa9a-d5e8-437e-856a-cc5d0faa79b2"]},{"id":"ITEM-2","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Información","id":"ITEM-2","issue":"6","issued":{"date-parts":[["2017"]]},"page":"1139","title":"Comunidades de fans y ficción televisiva. Estudio de caso: El ministerio del tiempo (TVE)","type":"article-journal","volume":"26"},"uris":["http://www.mendeley.com/documents/?uuid=4d95a773-0bf3-41f2-b03f-94fe0e38dab0"]},{"id":"ITEM-3","itemData":{"DOI":"10.4185/RLCS-2017-1187","abstract":"ES] Introducción: Los teléfonos inteligentes son los máximos exponentes de la era de la movilidad y de la conectividad tecnológica. En este artículo investigamos los hábitos de uso y consumo de audiovisuales en éstos dentro del target universitario. Metodología: De corte cuantitativo, se ha diseñado un cuestionario específico que fue distribuido en entrevistas cara a cara apoyándonos en un T-CAPI (Tablet and Computer Assisted Personal Interview) que constaba de 36 preguntas-ítems. Resultados y discusión: Se especifican las principales diferencias en el consumo de vídeo en las redes 3G y 4G en la muestra analizada, consolidándose la tendencia hacia consumos más ávidos en redes más potentes y rápidas así como un crecimiento en el uso del Smartphone en las actividades en second screen.","author":[{"dropping-particle":"","family":"Ramos Méndez","given":"D.","non-dropping-particle":"","parse-names":false,"suffix":""},{"dropping-particle":"","family":"Ortega-Mohedano","given":"F.","non-dropping-particle":"","parse-names":false,"suffix":""}],"container-title":"Revista Latina de Comunicacion Social","id":"ITEM-3","issued":{"date-parts":[["2017"]]},"page":"704-718","title":"La revolución en los hábitos de uso y consumo de vídeo en teléfonos inteligentes entre usuarios Millenials, la encrucijada revelada","type":"article-journal","volume":"72"},"uris":["http://www.mendeley.com/documents/?uuid=f4a91d14-dc40-407f-a9d5-ef278f64cfa0"]}],"mendeley":{"formattedCitation":"(Neira, 2015; Ramos Méndez &amp; Ortega-Mohedano, 2017; Torregrosa-Carmona &amp; Rodríguez-Gómez, 2017)","plainTextFormattedCitation":"(Neira, 2015; Ramos Méndez &amp; Ortega-Mohedano, 2017; Torregrosa-Carmona &amp; Rodríguez-Gómez, 2017)","previouslyFormattedCitation":"(Neira, 2015; Ramos Méndez &amp; Ortega-Mohedano, 2017;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(Neira, 2015; Ramos Méndez &amp; Ortega-Mohedano, 2017; Torregrosa-Carmona &amp; Rodríguez-Gómez,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sino que además concentra en mayor  medida al público adolescente </w:t>
      </w:r>
      <w:r w:rsidRPr="00F21E9C">
        <w:rPr>
          <w:rFonts w:ascii="Tahoma" w:eastAsia="Times" w:hAnsi="Tahoma" w:cs="Tahoma"/>
          <w:bCs/>
          <w:sz w:val="24"/>
          <w:szCs w:val="24"/>
          <w:lang w:val="es-ES_tradnl"/>
        </w:rPr>
        <w:fldChar w:fldCharType="begin" w:fldLock="1"/>
      </w:r>
      <w:r>
        <w:rPr>
          <w:rFonts w:ascii="Tahoma" w:eastAsia="Times" w:hAnsi="Tahoma" w:cs="Tahoma"/>
          <w:bCs/>
          <w:sz w:val="24"/>
          <w:szCs w:val="24"/>
          <w:lang w:val="es-ES_tradnl"/>
        </w:rPr>
        <w:instrText>ADDIN CSL_CITATION {"citationItems":[{"id":"ITEM-1","itemData":{"DOI":"10.17851/1983-3652.13.1.20-44","ISSN":"19833652","abstract":"This study investigates the habits of adolescents concerning the consumption, production and creation on Instagram. We analyzed the types of interrelationships and interactions in this space, and, in turn, the personal identities negatively impacted by dangers, truths and lies. The research used a mixed methodology, by conducting a survey with 171 Spanish adolescents, and developing 17 interview groups with another 67. It was observed that adolescents consume multimedia content, however, they do not create more than the interactions in which they take part on Instagram. Their preferred interactions are with friends, influencers or YouTubers and family, with whom they communicate with stories, likes, direct messages and other comments. The existence of dangers was observed, such as harassment, exclusion and marginalization that lead to the subsequent blocking of certain profiles for their safety.","author":[{"dropping-particle":"","family":"Gil-Quintana","given":"Javier","non-dropping-particle":"","parse-names":false,"suffix":""},{"dropping-particle":"","family":"Amoros","given":"Manuel Fernández Galiano","non-dropping-particle":"","parse-names":false,"suffix":""}],"container-title":"Texto Livre","id":"ITEM-1","issue":"1","issued":{"date-parts":[["2020"]]},"page":"20-44","title":"Posts, interactions, truths and lies of Spanish adolescents on Instagram","type":"article-journal","volume":"13"},"uris":["http://www.mendeley.com/documents/?uuid=539ffe7b-2d6f-485e-aae3-c84c27889587"]}],"mendeley":{"formattedCitation":"(Gil-Quintana &amp; Amoros, 2020)","plainTextFormattedCitation":"(Gil-Quintana &amp; Amoros, 2020)","previouslyFormattedCitation":"(Gil-Quintana &amp; Amoros, 2020)"},"properties":{"noteIndex":0},"schema":"https://github.com/citation-style-language/schema/raw/master/csl-citation.json"}</w:instrText>
      </w:r>
      <w:r w:rsidRPr="00F21E9C">
        <w:rPr>
          <w:rFonts w:ascii="Tahoma" w:eastAsia="Times" w:hAnsi="Tahoma" w:cs="Tahoma"/>
          <w:bCs/>
          <w:sz w:val="24"/>
          <w:szCs w:val="24"/>
          <w:lang w:val="es-ES_tradnl"/>
        </w:rPr>
        <w:fldChar w:fldCharType="separate"/>
      </w:r>
      <w:r w:rsidRPr="004B212F">
        <w:rPr>
          <w:rFonts w:ascii="Tahoma" w:eastAsia="Times" w:hAnsi="Tahoma" w:cs="Tahoma"/>
          <w:bCs/>
          <w:noProof/>
          <w:sz w:val="24"/>
          <w:szCs w:val="24"/>
          <w:lang w:val="es-ES_tradnl"/>
        </w:rPr>
        <w:t>(Gil-Quintana &amp; Amoros, 2020)</w:t>
      </w:r>
      <w:r w:rsidRPr="00F21E9C">
        <w:rPr>
          <w:rFonts w:ascii="Tahoma" w:eastAsia="Times" w:hAnsi="Tahoma" w:cs="Tahoma"/>
          <w:bCs/>
          <w:sz w:val="24"/>
          <w:szCs w:val="24"/>
          <w:lang w:val="es-ES_tradnl"/>
        </w:rPr>
        <w:fldChar w:fldCharType="end"/>
      </w:r>
      <w:r w:rsidRPr="00F21E9C">
        <w:rPr>
          <w:rFonts w:ascii="Tahoma" w:eastAsia="Times" w:hAnsi="Tahoma" w:cs="Tahoma"/>
          <w:bCs/>
          <w:sz w:val="24"/>
          <w:szCs w:val="24"/>
          <w:lang w:val="es-ES_tradnl"/>
        </w:rPr>
        <w:t xml:space="preserve">. Se espera, en consecuencia, una mayor incidencia del </w:t>
      </w:r>
      <w:proofErr w:type="spellStart"/>
      <w:r w:rsidRPr="00F21E9C">
        <w:rPr>
          <w:rFonts w:ascii="Tahoma" w:eastAsia="Times" w:hAnsi="Tahoma" w:cs="Tahoma"/>
          <w:bCs/>
          <w:i/>
          <w:iCs/>
          <w:sz w:val="24"/>
          <w:szCs w:val="24"/>
          <w:lang w:val="es-ES_tradnl"/>
        </w:rPr>
        <w:t>fandom</w:t>
      </w:r>
      <w:proofErr w:type="spellEnd"/>
      <w:r w:rsidRPr="00F21E9C">
        <w:rPr>
          <w:rFonts w:ascii="Tahoma" w:eastAsia="Times" w:hAnsi="Tahoma" w:cs="Tahoma"/>
          <w:bCs/>
          <w:i/>
          <w:iCs/>
          <w:sz w:val="24"/>
          <w:szCs w:val="24"/>
          <w:lang w:val="es-ES_tradnl"/>
        </w:rPr>
        <w:t xml:space="preserve"> </w:t>
      </w:r>
      <w:r w:rsidRPr="00F21E9C">
        <w:rPr>
          <w:rFonts w:ascii="Tahoma" w:eastAsia="Times" w:hAnsi="Tahoma" w:cs="Tahoma"/>
          <w:bCs/>
          <w:sz w:val="24"/>
          <w:szCs w:val="24"/>
          <w:lang w:val="es-ES_tradnl"/>
        </w:rPr>
        <w:t xml:space="preserve">televisivo sobre la interacción de los usuarios en Instagram que en Twitter.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Los argumentos y hechos constatados justifican este estudio que persigue dar respuesta a las siguientes preguntas de investigación:</w:t>
      </w:r>
    </w:p>
    <w:p w:rsidR="00D52EA2" w:rsidRPr="00F21E9C" w:rsidRDefault="00D52EA2" w:rsidP="00740778">
      <w:pPr>
        <w:spacing w:after="0"/>
        <w:ind w:left="714" w:hanging="357"/>
        <w:jc w:val="both"/>
        <w:rPr>
          <w:rFonts w:ascii="Tahoma" w:eastAsia="Times" w:hAnsi="Tahoma" w:cs="Tahoma"/>
          <w:sz w:val="24"/>
          <w:szCs w:val="24"/>
        </w:rPr>
      </w:pPr>
      <w:r w:rsidRPr="00F21E9C">
        <w:rPr>
          <w:rFonts w:ascii="Tahoma" w:eastAsia="Times" w:hAnsi="Tahoma" w:cs="Tahoma"/>
          <w:sz w:val="24"/>
          <w:szCs w:val="24"/>
        </w:rPr>
        <w:t>P</w:t>
      </w:r>
      <w:r w:rsidRPr="00F21E9C">
        <w:rPr>
          <w:rFonts w:ascii="Tahoma" w:hAnsi="Tahoma" w:cs="Tahoma"/>
          <w:bCs/>
          <w:color w:val="000000"/>
          <w:sz w:val="24"/>
          <w:szCs w:val="24"/>
        </w:rPr>
        <w:t xml:space="preserve">.I.1: ¿La marca </w:t>
      </w:r>
      <w:proofErr w:type="spellStart"/>
      <w:r w:rsidRPr="00F21E9C">
        <w:rPr>
          <w:rFonts w:ascii="Tahoma" w:hAnsi="Tahoma" w:cs="Tahoma"/>
          <w:bCs/>
          <w:color w:val="000000"/>
          <w:sz w:val="24"/>
          <w:szCs w:val="24"/>
        </w:rPr>
        <w:t>Netflix</w:t>
      </w:r>
      <w:proofErr w:type="spellEnd"/>
      <w:r w:rsidRPr="00F21E9C">
        <w:rPr>
          <w:rFonts w:ascii="Tahoma" w:hAnsi="Tahoma" w:cs="Tahoma"/>
          <w:bCs/>
          <w:color w:val="000000"/>
          <w:sz w:val="24"/>
          <w:szCs w:val="24"/>
        </w:rPr>
        <w:t xml:space="preserve"> ha considerado e incorporado el fenómeno </w:t>
      </w:r>
      <w:proofErr w:type="spellStart"/>
      <w:r w:rsidRPr="00F21E9C">
        <w:rPr>
          <w:rFonts w:ascii="Tahoma" w:hAnsi="Tahoma" w:cs="Tahoma"/>
          <w:bCs/>
          <w:i/>
          <w:color w:val="000000"/>
          <w:sz w:val="24"/>
          <w:szCs w:val="24"/>
        </w:rPr>
        <w:t>fandom</w:t>
      </w:r>
      <w:proofErr w:type="spellEnd"/>
      <w:r w:rsidRPr="00F21E9C">
        <w:rPr>
          <w:rFonts w:ascii="Tahoma" w:hAnsi="Tahoma" w:cs="Tahoma"/>
          <w:bCs/>
          <w:i/>
          <w:color w:val="000000"/>
          <w:sz w:val="24"/>
          <w:szCs w:val="24"/>
        </w:rPr>
        <w:t xml:space="preserve"> </w:t>
      </w:r>
      <w:r w:rsidRPr="00F21E9C">
        <w:rPr>
          <w:rFonts w:ascii="Tahoma" w:hAnsi="Tahoma" w:cs="Tahoma"/>
          <w:bCs/>
          <w:color w:val="000000"/>
          <w:sz w:val="24"/>
          <w:szCs w:val="24"/>
        </w:rPr>
        <w:t>televisivo en su estrategia de comunicación en las redes sociales Twitter e</w:t>
      </w:r>
      <w:r w:rsidRPr="00F21E9C">
        <w:rPr>
          <w:rFonts w:ascii="Tahoma" w:eastAsia="Times" w:hAnsi="Tahoma" w:cs="Tahoma"/>
          <w:sz w:val="24"/>
          <w:szCs w:val="24"/>
        </w:rPr>
        <w:t xml:space="preserve"> Instagram con el fin de aprovechar el potencial comunicacional y relacional que ofrecen los adolescentes respecto del logro del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w:t>
      </w:r>
    </w:p>
    <w:p w:rsidR="00D52EA2" w:rsidRPr="00F21E9C" w:rsidRDefault="00D52EA2" w:rsidP="00740778">
      <w:pPr>
        <w:spacing w:after="0"/>
        <w:ind w:left="714" w:hanging="357"/>
        <w:jc w:val="both"/>
        <w:rPr>
          <w:rFonts w:ascii="Tahoma" w:eastAsia="Times" w:hAnsi="Tahoma" w:cs="Tahoma"/>
          <w:sz w:val="24"/>
          <w:szCs w:val="24"/>
        </w:rPr>
      </w:pPr>
      <w:r w:rsidRPr="00F21E9C">
        <w:rPr>
          <w:rFonts w:ascii="Tahoma" w:eastAsia="Times" w:hAnsi="Tahoma" w:cs="Tahoma"/>
          <w:sz w:val="24"/>
          <w:szCs w:val="24"/>
        </w:rPr>
        <w:t>P.I.2:</w:t>
      </w:r>
      <w:r w:rsidRPr="00F21E9C">
        <w:rPr>
          <w:rFonts w:ascii="Tahoma" w:hAnsi="Tahoma" w:cs="Tahoma"/>
          <w:sz w:val="24"/>
          <w:szCs w:val="24"/>
          <w:lang w:eastAsia="en-US"/>
        </w:rPr>
        <w:t xml:space="preserve"> </w:t>
      </w:r>
      <w:r w:rsidRPr="00F21E9C">
        <w:rPr>
          <w:rFonts w:ascii="Tahoma" w:eastAsia="Times" w:hAnsi="Tahoma" w:cs="Tahoma"/>
          <w:sz w:val="24"/>
          <w:szCs w:val="24"/>
        </w:rPr>
        <w:t xml:space="preserve">¿El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incide de forma diferente en el nivel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sz w:val="24"/>
          <w:szCs w:val="24"/>
        </w:rPr>
        <w:t>según la red social y sus respectivas audiencias?</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En consecuencia, el objetivo principal de esta investigación radica en el análisis del impacto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televisivo en la interacción generada por los usuarios de los perfiles de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en Twitter e Instagram, teniendo en cuenta el papel relevante de los adolescentes a este respecto, así como su importancia para las marcas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{"citationItems":[{"id":"ITEM-1","itemData":{"ISSN":"1134-3478","abstract":"los profundos cambios acaecidos en la configuración del contexto mediático en los últimos tiempos han generado cambios tanto en el medio televisivo como en las relaciones establecidas con él. es por ello que resulta necesario conocer cómo consumen la televisión los jóvenes actuales en aras de crear estrategias que ayuden a capacitarlos en la utilización de este medio. Con este fin, en esta investigación se han estudiado las pautas de consumo televisivo de 553 adolescentes (267 chicos y 286 chicas) de irlanda, españa y México, de edades comprendidas entre 14 y 19 años. Mediante la aplicación de dos cuestionarios (Ch-tv 0.2 y valtv 0.2) se han podido detectar cuatro pautas de consumo generalizables a todos los contextos estudiados. dos de estas pautas, diferencian el consumo entre hombres (Crítico-Cultural) y mujeres (social-Conversacional), siendo ellos los que realizan un consumo más cultural e informativo y ellas, más dirigido a entablar conversación con sus amistades. en lo que a las otras dos pautas se refiere, la percepción de un clima conflictivo (consumo Conflictivo-pasivo) o la de una mediación responsable (consumo Comprometido-positivo) son algunas de las variables que marcan las diferencias. además, se han detectado aquellos factores que presentan mayor poder discriminativo en la configuración de estas pautas, siendo la preferencia mostrada hacia los géneros televisivos el factor más discriminante entre los estudiados. sin embargo, la permanencia, el realismo percibido y el contexto cultural no han resultado ser determinantes.","author":[{"dropping-particle":"","family":"Ugalde Lujambio","given":"Leire","non-dropping-particle":"","parse-names":false,"suffix":""},{"dropping-particle":"","family":"Martínez","given":"Juan","non-dropping-particle":"","parse-names":false,"suffix":""},{"dropping-particle":"","family":"Medrano Samaniego","given":"María","non-dropping-particle":"","parse-names":false,"suffix":""}],"container-title":"Comunicar: Revista científica iberoamericana de comunicación y educación","id":"ITEM-1","issue":"50","issued":{"date-parts":[["2017"]]},"page":"67-76","title":"Pautas de consumo televisivo en adolescentes de la era digital: un estudio transcultural","type":"article-journal"},"uris":["http://www.mendeley.com/documents/?uuid=93e244c8-33eb-409e-97fe-35919487a116"]},{"id":"ITEM-2","itemData":{"DOI":"https://doi.org/10.14201/fjc201817193213","author":[{"dropping-particle":"","family":"Atarama-Rojas","given":"Tomás","non-dropping-particle":"","parse-names":false,"suffix":""},{"dropping-particle":"","family":"Requena Zapata","given":"Selene","non-dropping-particle":"","parse-names":false,"suffix":""}],"container-title":"Fonseca, Journal of Communication","id":"ITEM-2","issue":"17","issued":{"date-parts":[["2018"]]},"page":"193-213","title":"Narrativa Transmedia: Análisis de la participación de la audiencia en la serie 13 reasons why para la aproximación al tema del suicidio","type":"article-journal"},"uris":["http://www.mendeley.com/documents/?uuid=0115c759-f843-44f4-bb6b-80a3328d7359"]},{"id":"ITEM-3","itemData":{"ISSN":"2444-0132","abstract":"This article aims to analyze the audiovisual consumption patterns of 12 to 16 year-old adolescents, with particular emphasis on the television fiction contents. In order to understand the role of television series in the era of audiovisual digitization, we have analyzed the preferences, motivations and practices of the adolescents. The study presents quantitative and qualitative data collected in 2011, two years after the digital switchover of television at the study area. This period is considered as the beginning of the digital era, and is characterized by new ways of audiovisual production, transmission and consumption, which have been considered. Questionnaires filled by 852 adolescents, as well as 26 interviews and 16 social network profiles, have been analyzed. The results showed that although consumption of fiction content is closely related to traditional television consumption practices, new expressions and experiences have arisen through the Internet. KEY WORDS television, television digitalization, audiovisual media, adolescents, TV series RESUMEN El presente artículo tiene como objetivo analizar los patrones de consumo audiovisual de los adolescentes de entre 12 y 16 años, haciendo especial hincapié en los contenidos de ficción televisiva. Con el fin de entender el rol de las series de televisión en la era de la digitalización audiovisual, se han analizado las preferencias audiovisuales de estos adolescentes y sus motivaciones, así como sus prácticas alrededor de estos contenidos. En esta investigación se exponen datos cuantitativos y cualitativos recogidos en 2011, años posteriores al apagón analógico de la televisión y que marcan el comienzo de una nueva era audiovisual con nuevas particularidades en la producción, emisión y consumo de contenidos audiovisuales. Se analizan los cuestionarios de 852 adolescentes, así como 26 entrevistas en profundidad y 16 perfiles de la red social Tuenti, con el fin de radiografiar los usos que los jóvenes realizan alrededor de las series de televisión. Los resultados demuestran que, aunque el consumo de contenidos de ficción está estrechamente relacionado con prácticas tradicionales de consumo televisivo, han surgido nuevas expresiones y experiencias a través de Internet. PALABRAS CLAVE televisión, digitalización televisiva, audiovisual, adolescencia, series de televsión Consumo de series de televisión de los adolescentes en la era de la digitalización audiovisual: prácticas y motivaciones","author":[{"dropping-particle":"","family":"Pavón-Arrizabalaga","given":"Amaia","non-dropping-particle":"","parse-names":false,"suffix":""},{"dropping-particle":"","family":"Zuberogoitia","given":"Aitor","non-dropping-particle":"","parse-names":false,"suffix":""},{"dropping-particle":"","family":"Astigarraga","given":"Idoia","non-dropping-particle":"","parse-names":false,"suffix":""},{"dropping-particle":"","family":"Unibertsitatea","given":"Mondragon","non-dropping-particle":"","parse-names":false,"suffix":""},{"dropping-particle":"","family":"Juaristi","given":"Patxi","non-dropping-particle":"","parse-names":false,"suffix":""}],"container-title":"Dígitos, Revista de Comunicación Digital","id":"ITEM-3","issue":"2","issued":{"date-parts":[["2016"]]},"note":"Teenagers ’ Consumption of TV Series in the Era of TV Digitalization : Uses and Gratifications","page":"35-52","title":"Consumo de series de televisión de los adolescentes en la era de la digitalización audiovisual : prácticas y motivaciones","type":"article-journal","volume":"2"},"uris":["http://www.mendeley.com/documents/?uuid=b7733e95-d617-4430-a7a3-fd9ee8dd4dfa"]},{"id":"ITEM-4","itemData":{"DOI":"10.17851/1983-3652.13.1.20-44","ISSN":"19833652","abstract":"This study investigates the habits of adolescents concerning the consumption, production and creation on Instagram. We analyzed the types of interrelationships and interactions in this space, and, in turn, the personal identities negatively impacted by dangers, truths and lies. The research used a mixed methodology, by conducting a survey with 171 Spanish adolescents, and developing 17 interview groups with another 67. It was observed that adolescents consume multimedia content, however, they do not create more than the interactions in which they take part on Instagram. Their preferred interactions are with friends, influencers or YouTubers and family, with whom they communicate with stories, likes, direct messages and other comments. The existence of dangers was observed, such as harassment, exclusion and marginalization that lead to the subsequent blocking of certain profiles for their safety.","author":[{"dropping-particle":"","family":"Gil-Quintana","given":"Javier","non-dropping-particle":"","parse-names":false,"suffix":""},{"dropping-particle":"","family":"Amoros","given":"Manuel Fernández Galiano","non-dropping-particle":"","parse-names":false,"suffix":""}],"container-title":"Texto Livre","id":"ITEM-4","issue":"1","issued":{"date-parts":[["2020"]]},"page":"20-44","title":"Posts, interactions, truths and lies of Spanish adolescents on Instagram","type":"article-journal","volume":"13"},"uris":["http://www.mendeley.com/documents/?uuid=539ffe7b-2d6f-485e-aae3-c84c27889587"]}],"mendeley":{"formattedCitation":"(Atarama-Rojas &amp; Requena Zapata, 2018; Gil-Quintana &amp; Amoros, 2020; Pavón-Arrizabalaga et al., 2016; Ugalde Lujambio et al., 2017)","plainTextFormattedCitation":"(Atarama-Rojas &amp; Requena Zapata, 2018; Gil-Quintana &amp; Amoros, 2020; Pavón-Arrizabalaga et al., 2016; Ugalde Lujambio et al., 2017)","previouslyFormattedCitation":"(Atarama-Rojas &amp; Requena Zapata, 2018; Gil-Quintana &amp; Amoros, 2020; Pavón-Arrizabalaga et al., 2016; Ugalde Lujambio et al.,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 xml:space="preserve">(Atarama-Rojas &amp; Requena Zapata, 2018; Gil-Quintana &amp; Amoros, 2020; Pavón-Arrizabalaga </w:t>
      </w:r>
      <w:r w:rsidRPr="00672817">
        <w:rPr>
          <w:rFonts w:ascii="Tahoma" w:eastAsia="Times" w:hAnsi="Tahoma" w:cs="Tahoma"/>
          <w:i/>
          <w:iCs/>
          <w:noProof/>
          <w:sz w:val="24"/>
          <w:szCs w:val="24"/>
        </w:rPr>
        <w:t>et al.</w:t>
      </w:r>
      <w:r w:rsidRPr="00F21E9C">
        <w:rPr>
          <w:rFonts w:ascii="Tahoma" w:eastAsia="Times" w:hAnsi="Tahoma" w:cs="Tahoma"/>
          <w:noProof/>
          <w:sz w:val="24"/>
          <w:szCs w:val="24"/>
        </w:rPr>
        <w:t xml:space="preserve">, 2016; Ugalde Lujambio </w:t>
      </w:r>
      <w:r w:rsidRPr="00672817">
        <w:rPr>
          <w:rFonts w:ascii="Tahoma" w:eastAsia="Times" w:hAnsi="Tahoma" w:cs="Tahoma"/>
          <w:i/>
          <w:iCs/>
          <w:noProof/>
          <w:sz w:val="24"/>
          <w:szCs w:val="24"/>
        </w:rPr>
        <w:t>et al.</w:t>
      </w:r>
      <w:r w:rsidRPr="00F21E9C">
        <w:rPr>
          <w:rFonts w:ascii="Tahoma" w:eastAsia="Times" w:hAnsi="Tahoma" w:cs="Tahoma"/>
          <w:noProof/>
          <w:sz w:val="24"/>
          <w:szCs w:val="24"/>
        </w:rPr>
        <w:t>, 2017)</w:t>
      </w:r>
      <w:r w:rsidRPr="00F21E9C">
        <w:rPr>
          <w:rFonts w:ascii="Tahoma" w:eastAsia="Times" w:hAnsi="Tahoma" w:cs="Tahoma"/>
          <w:sz w:val="24"/>
          <w:szCs w:val="24"/>
        </w:rPr>
        <w:fldChar w:fldCharType="end"/>
      </w:r>
      <w:r w:rsidRPr="00F21E9C">
        <w:rPr>
          <w:rFonts w:ascii="Tahoma" w:eastAsia="Times" w:hAnsi="Tahoma" w:cs="Tahoma"/>
          <w:sz w:val="24"/>
          <w:szCs w:val="24"/>
        </w:rPr>
        <w:t>.</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A partir de los resultados se podrá concluir acerca de las ventajas de considerar este fenómeno en el diseño y desarrollo de las estrategias de </w:t>
      </w:r>
      <w:r w:rsidRPr="00F21E9C">
        <w:rPr>
          <w:rFonts w:ascii="Tahoma" w:eastAsia="Times" w:hAnsi="Tahoma" w:cs="Tahoma"/>
          <w:i/>
          <w:iCs/>
          <w:sz w:val="24"/>
          <w:szCs w:val="24"/>
        </w:rPr>
        <w:t xml:space="preserve">marketing </w:t>
      </w:r>
      <w:r w:rsidRPr="00F21E9C">
        <w:rPr>
          <w:rFonts w:ascii="Tahoma" w:eastAsia="Times" w:hAnsi="Tahoma" w:cs="Tahoma"/>
          <w:sz w:val="24"/>
          <w:szCs w:val="24"/>
        </w:rPr>
        <w:t xml:space="preserve">y comunicación digital de la marca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respecto de favorecer 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p>
    <w:p w:rsidR="005D3F1F" w:rsidRDefault="005D3F1F"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Para dar respuesta a las preguntas de investigación y, en atención al objetivo principal, se plantean los siguientes objetivos específicos:</w:t>
      </w:r>
    </w:p>
    <w:p w:rsidR="00D52EA2" w:rsidRPr="00F21E9C" w:rsidRDefault="00D52EA2" w:rsidP="00740778">
      <w:pPr>
        <w:spacing w:after="0"/>
        <w:ind w:left="714" w:hanging="357"/>
        <w:jc w:val="both"/>
        <w:rPr>
          <w:rFonts w:ascii="Tahoma" w:eastAsia="Times" w:hAnsi="Tahoma" w:cs="Tahoma"/>
          <w:sz w:val="24"/>
          <w:szCs w:val="24"/>
        </w:rPr>
      </w:pPr>
      <w:r w:rsidRPr="00F21E9C">
        <w:rPr>
          <w:rFonts w:ascii="Tahoma" w:eastAsia="Times" w:hAnsi="Tahoma" w:cs="Tahoma"/>
          <w:sz w:val="24"/>
          <w:szCs w:val="24"/>
        </w:rPr>
        <w:t xml:space="preserve">O1: Determinar y comparar la presencia de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(su perfil, sus seguidores, etc.) en Twitter e Instagram.</w:t>
      </w:r>
    </w:p>
    <w:p w:rsidR="00D52EA2" w:rsidRPr="00F21E9C" w:rsidRDefault="00D52EA2" w:rsidP="00740778">
      <w:pPr>
        <w:spacing w:after="0"/>
        <w:ind w:left="714" w:hanging="357"/>
        <w:jc w:val="both"/>
        <w:rPr>
          <w:rFonts w:ascii="Tahoma" w:eastAsia="Times" w:hAnsi="Tahoma" w:cs="Tahoma"/>
          <w:sz w:val="24"/>
          <w:szCs w:val="24"/>
        </w:rPr>
      </w:pPr>
      <w:r w:rsidRPr="00F21E9C">
        <w:rPr>
          <w:rFonts w:ascii="Tahoma" w:eastAsia="Times" w:hAnsi="Tahoma" w:cs="Tahoma"/>
          <w:sz w:val="24"/>
          <w:szCs w:val="24"/>
        </w:rPr>
        <w:t>O2: Clasificación y comparación de las publicaciones, en Twitter e Instagram, según contenido (series vs. no series, series originales vs. series no originales) y finalidad principal (objetivo comercial o participativo).</w:t>
      </w:r>
    </w:p>
    <w:p w:rsidR="00D52EA2" w:rsidRPr="00F21E9C" w:rsidRDefault="00D52EA2" w:rsidP="00740778">
      <w:pPr>
        <w:spacing w:after="0"/>
        <w:ind w:left="714" w:hanging="357"/>
        <w:jc w:val="both"/>
        <w:rPr>
          <w:rFonts w:ascii="Tahoma" w:eastAsia="Times" w:hAnsi="Tahoma" w:cs="Tahoma"/>
          <w:sz w:val="24"/>
          <w:szCs w:val="24"/>
        </w:rPr>
      </w:pPr>
      <w:r w:rsidRPr="00F21E9C">
        <w:rPr>
          <w:rFonts w:ascii="Tahoma" w:eastAsia="Times" w:hAnsi="Tahoma" w:cs="Tahoma"/>
          <w:sz w:val="24"/>
          <w:szCs w:val="24"/>
        </w:rPr>
        <w:t xml:space="preserve">O3: Evaluar la interacción y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sz w:val="24"/>
          <w:szCs w:val="24"/>
        </w:rPr>
        <w:t>que generan las distintas categorías de publicaciones en Twitter e Instagram y compararlos.</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Cabe señalar que la clasificación de las publicaciones no se limita a la consideración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(contenido) sino que se contempla también la finalidad por su incidencia en los niveles de interacción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ISBN":"978-84-9116-339-8","author":[{"dropping-particle":"","family":"Monserrat-Gauchi","given":"Juan","non-dropping-particle":"","parse-names":false,"suffix":""},{"dropping-particle":"","family":"Martínez-Sala","given":"Alba-María","non-dropping-particle":"","parse-names":false,"suffix":""}],"container-title":"Casos de estudio de Relaciones Públicas. Sociedad conectada: empresas y universidades","editor":[{"dropping-particle":"","family":"Mut","given":"M.","non-dropping-particle":"","parse-names":false,"suffix":""},{"dropping-particle":"","family":"Oliveira","given":"A.","non-dropping-particle":"","parse-names":false,"suffix":""},{"dropping-particle":"","family":"Alberto Pérez","given":"R.","non-dropping-particle":"","parse-names":false,"suffix":""},{"dropping-particle":"","family":"Xifra","given":"J.","non-dropping-particle":"","parse-names":false,"suffix":""}],"id":"ITEM-1","issued":{"date-parts":[["2016"]]},"page":"59-85","publisher":"Editorial UOC. Colección DIRCOM","publisher-place":"Barcelona","title":"Cambio de paradigma en la interacción de las empresas con sus públicos. La generación de contenidos a través de Facebook","type":"chapter"},"uris":["http://www.mendeley.com/documents/?uuid=27ae2725-d4d0-49d2-b856-67d0b1de2f5d"]},{"id":"ITEM-2","itemData":{"author":[{"dropping-particle":"","family":"Monserrat-Gauchi","given":"Juan","non-dropping-particle":"","parse-names":false,"suffix":""},{"dropping-particle":"","family":"Quiles-Soler","given":"María-Carmen","non-dropping-particle":"","parse-names":false,"suffix":""},{"dropping-particle":"","family":"Martínez-Sala","given":"Alba-María","non-dropping-particle":"","parse-names":false,"suffix":""}],"container-title":"Prisma Social","id":"ITEM-2","issue":"18","issued":{"date-parts":[["2017"]]},"page":"540-560","title":"La participación ciudadana en la comunicación de las organizaciones. Análisis de las franquicias de salud-belleza, decoración y restauración","type":"article-journal"},"uris":["http://www.mendeley.com/documents/?uuid=bef27ba6-a854-4aad-95f6-7a3f65d50c47"]},{"id":"ITEM-3","itemData":{"DOI":"10.3145/epi.2018.nov.12","ISBN":"0000000310","ISSN":"1386-6710","abstract":"Resumen: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Información","id":"ITEM-3","issue":"6","issued":{"date-parts":[["2018"]]},"page":"1292","title":"La estrategia de engagement de Netflix España en Twitter","type":"article-journal","volume":"27"},"uris":["http://www.mendeley.com/documents/?uuid=8dcc95d0-fef3-455b-ba0c-5a9c17ea0c53"]}],"mendeley":{"formattedCitation":"(Fernández-Gómez &amp; Martín-Quevedo, 2018b; Monserrat-Gauchi et al., 2017; Monserrat-Gauchi &amp; Martínez-Sala, 2016)","plainTextFormattedCitation":"(Fernández-Gómez &amp; Martín-Quevedo, 2018b; Monserrat-Gauchi et al., 2017; Monserrat-Gauchi &amp; Martínez-Sala, 2016)","previouslyFormattedCitation":"(Fernández-Gómez &amp; Martín-Quevedo, 2018b; Monserrat-Gauchi et al., 2017; Monserrat-Gauchi &amp; Martínez-Sala, 2016)"},"properties":{"noteIndex":0},"schema":"https://github.com/citation-style-language/schema/raw/master/csl-citation.json"}</w:instrText>
      </w:r>
      <w:r w:rsidRPr="00F21E9C">
        <w:rPr>
          <w:rFonts w:ascii="Tahoma" w:eastAsia="Times" w:hAnsi="Tahoma" w:cs="Tahoma"/>
          <w:sz w:val="24"/>
          <w:szCs w:val="24"/>
        </w:rPr>
        <w:fldChar w:fldCharType="separate"/>
      </w:r>
      <w:r w:rsidRPr="00C9773A">
        <w:rPr>
          <w:rFonts w:ascii="Tahoma" w:eastAsia="Times" w:hAnsi="Tahoma" w:cs="Tahoma"/>
          <w:noProof/>
          <w:sz w:val="24"/>
          <w:szCs w:val="24"/>
        </w:rPr>
        <w:t xml:space="preserve">(Fernández-Gómez &amp; Martín-Quevedo, 2018b; Monserrat-Gauchi </w:t>
      </w:r>
      <w:r w:rsidRPr="00672817">
        <w:rPr>
          <w:rFonts w:ascii="Tahoma" w:eastAsia="Times" w:hAnsi="Tahoma" w:cs="Tahoma"/>
          <w:i/>
          <w:noProof/>
          <w:sz w:val="24"/>
          <w:szCs w:val="24"/>
        </w:rPr>
        <w:t>et al.</w:t>
      </w:r>
      <w:r w:rsidRPr="00C9773A">
        <w:rPr>
          <w:rFonts w:ascii="Tahoma" w:eastAsia="Times" w:hAnsi="Tahoma" w:cs="Tahoma"/>
          <w:noProof/>
          <w:sz w:val="24"/>
          <w:szCs w:val="24"/>
        </w:rPr>
        <w:t>, 2017; Monserrat-Gauchi &amp; Martínez-Sala, 2016)</w:t>
      </w:r>
      <w:r w:rsidRPr="00F21E9C">
        <w:rPr>
          <w:rFonts w:ascii="Tahoma" w:eastAsia="Times" w:hAnsi="Tahoma" w:cs="Tahoma"/>
          <w:sz w:val="24"/>
          <w:szCs w:val="24"/>
        </w:rPr>
        <w:fldChar w:fldCharType="end"/>
      </w:r>
      <w:r w:rsidRPr="00F21E9C">
        <w:rPr>
          <w:rFonts w:ascii="Tahoma" w:eastAsia="Times" w:hAnsi="Tahoma" w:cs="Tahoma"/>
          <w:sz w:val="24"/>
          <w:szCs w:val="24"/>
        </w:rPr>
        <w:t>.</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hAnsi="Tahoma" w:cs="Tahoma"/>
          <w:color w:val="00B050"/>
          <w:sz w:val="24"/>
          <w:szCs w:val="24"/>
        </w:rPr>
      </w:pPr>
      <w:r w:rsidRPr="00F21E9C">
        <w:rPr>
          <w:rFonts w:ascii="Tahoma" w:eastAsia="Times" w:hAnsi="Tahoma" w:cs="Tahoma"/>
          <w:sz w:val="24"/>
          <w:szCs w:val="24"/>
        </w:rPr>
        <w:t xml:space="preserve">En conjunto, el estudio que se plantea indaga acerca de cómo las compañías de distribución de contenidos audiovisuales pueden aprovechar el proceso de transformación que está experimentando su mercado, liderado por los adolescentes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{"citationItems":[{"id":"ITEM-1","itemData":{"DOI":"10.4185/RLCS-2017-1187","abstract":"ES] Introducción: Los teléfonos inteligentes son los máximos exponentes de la era de la movilidad y de la conectividad tecnológica. En este artículo investigamos los hábitos de uso y consumo de audiovisuales en éstos dentro del target universitario. Metodología: De corte cuantitativo, se ha diseñado un cuestionario específico que fue distribuido en entrevistas cara a cara apoyándonos en un T-CAPI (Tablet and Computer Assisted Personal Interview) que constaba de 36 preguntas-ítems. Resultados y discusión: Se especifican las principales diferencias en el consumo de vídeo en las redes 3G y 4G en la muestra analizada, consolidándose la tendencia hacia consumos más ávidos en redes más potentes y rápidas así como un crecimiento en el uso del Smartphone en las actividades en second screen.","author":[{"dropping-particle":"","family":"Ramos Méndez","given":"D.","non-dropping-particle":"","parse-names":false,"suffix":""},{"dropping-particle":"","family":"Ortega-Mohedano","given":"F.","non-dropping-particle":"","parse-names":false,"suffix":""}],"container-title":"Revista Latina de Comunicacion Social","id":"ITEM-1","issued":{"date-parts":[["2017"]]},"page":"704-718","title":"La revolución en los hábitos de uso y consumo de vídeo en teléfonos inteligentes entre usuarios Millenials, la encrucijada revelada","type":"article-journal","volume":"72"},"uris":["http://www.mendeley.com/documents/?uuid=f4a91d14-dc40-407f-a9d5-ef278f64cfa0"]}],"mendeley":{"formattedCitation":"(Ramos Méndez &amp; Ortega-Mohedano, 2017)","plainTextFormattedCitation":"(Ramos Méndez &amp; Ortega-Mohedano, 2017)","previouslyFormattedCitation":"(Ramos Méndez &amp; Ortega-Mohedano,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(Ramos Méndez &amp; Ortega-Mohedano,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atendiendo a sus expectativas y deseos. La incorporación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en la estrategia de comunicación parece ser una clara respuesta a ello, al ser un movimiento característico de esta generación. Del mismo modo, el uso de las redes sociales con carácter multidireccional también es una buena medida ya que atiende sus necesidades y prácticas comunicativas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Social","id":"ITEM-1","issue":"73","issued":{"date-parts":[["2018"]]},"page":"1-18","title":"Fandom televisivo y construcción de identidad. Análisis de los comentarios de las fans españolas y los community managers","type":"article-journal","volume":"2018"},"uris":["http://www.mendeley.com/documents/?uuid=e101c1c0-c2d6-4fe1-9c44-8361d532fc84"]},{"id":"ITEM-2","itemData":{"DOI":"10.3145/epi.2017.nov.13","ISBN":"0000000259835","ISSN":"1386-6710","abstract":"Fan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Información","id":"ITEM-2","issue":"6","issued":{"date-parts":[["2017"]]},"page":"1139","title":"Comunidades de fans y ficción televisiva. Estudio de caso: El ministerio del tiempo (TVE)","type":"article-journal","volume":"26"},"uris":["http://www.mendeley.com/documents/?uuid=4d95a773-0bf3-41f2-b03f-94fe0e38dab0"]}],"mendeley":{"formattedCitation":"(Lacalle &amp; Castro, 2018; Torregrosa-Carmona &amp; Rodríguez-Gómez, 2017)","plainTextFormattedCitation":"(Lacalle &amp; Castro, 2018; Torregrosa-Carmona &amp; Rodríguez-Gómez, 2017)","previouslyFormattedCitation":"(Lacalle &amp; Castro, 2018; Torregrosa-Carmona &amp; Rodríguez-Gómez, 2017)"},"properties":{"noteIndex":0},"schema":"https://github.com/citation-style-language/schema/raw/master/csl-citation.json"}</w:instrText>
      </w:r>
      <w:r w:rsidRPr="00F21E9C">
        <w:rPr>
          <w:rFonts w:ascii="Tahoma" w:eastAsia="Times" w:hAnsi="Tahoma" w:cs="Tahoma"/>
          <w:sz w:val="24"/>
          <w:szCs w:val="24"/>
        </w:rPr>
        <w:fldChar w:fldCharType="separate"/>
      </w:r>
      <w:r w:rsidRPr="000D3DB3">
        <w:rPr>
          <w:rFonts w:ascii="Tahoma" w:eastAsia="Times" w:hAnsi="Tahoma" w:cs="Tahoma"/>
          <w:noProof/>
          <w:sz w:val="24"/>
          <w:szCs w:val="24"/>
        </w:rPr>
        <w:t>(Lacalle &amp; Castro, 2018; Torregrosa-Carmona &amp; Rodríguez-Gómez, 2017)</w:t>
      </w:r>
      <w:r w:rsidRPr="00F21E9C">
        <w:rPr>
          <w:rFonts w:ascii="Tahoma" w:eastAsia="Times" w:hAnsi="Tahoma" w:cs="Tahoma"/>
          <w:sz w:val="24"/>
          <w:szCs w:val="24"/>
        </w:rPr>
        <w:fldChar w:fldCharType="end"/>
      </w:r>
      <w:r w:rsidRPr="00F21E9C">
        <w:rPr>
          <w:rFonts w:ascii="Tahoma" w:hAnsi="Tahoma" w:cs="Tahoma"/>
          <w:color w:val="00B050"/>
          <w:sz w:val="24"/>
          <w:szCs w:val="24"/>
        </w:rPr>
        <w:t xml:space="preserve"> </w:t>
      </w:r>
    </w:p>
    <w:p w:rsidR="00D52EA2" w:rsidRPr="00F21E9C" w:rsidRDefault="00D52EA2" w:rsidP="00740778">
      <w:pPr>
        <w:spacing w:after="0"/>
        <w:ind w:firstLine="284"/>
        <w:jc w:val="both"/>
        <w:rPr>
          <w:rFonts w:ascii="Tahoma" w:hAnsi="Tahoma" w:cs="Tahoma"/>
          <w:b/>
          <w:sz w:val="24"/>
          <w:szCs w:val="24"/>
        </w:rPr>
      </w:pPr>
    </w:p>
    <w:p w:rsidR="00D52EA2" w:rsidRPr="00F21E9C" w:rsidRDefault="00D52EA2" w:rsidP="00740778">
      <w:pPr>
        <w:tabs>
          <w:tab w:val="left" w:pos="600"/>
        </w:tabs>
        <w:autoSpaceDE w:val="0"/>
        <w:autoSpaceDN w:val="0"/>
        <w:adjustRightInd w:val="0"/>
        <w:spacing w:after="0"/>
        <w:jc w:val="both"/>
        <w:rPr>
          <w:rFonts w:ascii="Tahoma" w:hAnsi="Tahoma" w:cs="Tahoma"/>
          <w:b/>
          <w:bCs/>
          <w:color w:val="00B050"/>
          <w:sz w:val="24"/>
          <w:szCs w:val="24"/>
        </w:rPr>
      </w:pPr>
      <w:r w:rsidRPr="00F21E9C">
        <w:rPr>
          <w:rFonts w:ascii="Tahoma" w:hAnsi="Tahoma" w:cs="Tahoma"/>
          <w:b/>
          <w:sz w:val="24"/>
          <w:szCs w:val="24"/>
        </w:rPr>
        <w:t xml:space="preserve">3. METODOLOGÍA </w:t>
      </w:r>
    </w:p>
    <w:p w:rsidR="00D52EA2" w:rsidRPr="00F21E9C" w:rsidRDefault="00D52EA2" w:rsidP="00740778">
      <w:pPr>
        <w:tabs>
          <w:tab w:val="left" w:pos="600"/>
        </w:tabs>
        <w:autoSpaceDE w:val="0"/>
        <w:autoSpaceDN w:val="0"/>
        <w:adjustRightInd w:val="0"/>
        <w:spacing w:after="0"/>
        <w:jc w:val="both"/>
        <w:rPr>
          <w:rFonts w:ascii="Tahoma" w:hAnsi="Tahoma" w:cs="Tahoma"/>
          <w:color w:val="000000"/>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Las preguntas de investigación y objetivos planteados se abordan mediante un análisis de contenido cuantitativo de las publicaciones de la marca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y de la interacción generada en sus perfiles corporativos en Twitter e Instagram desde un enfoque metodológico exploratorio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BN":"978-9974-0-0769-7","author":[{"dropping-particle":"","family":"Batthyány","given":"Karina","non-dropping-particle":"","parse-names":false,"suffix":""},{"dropping-particle":"","family":"Cabrera","given":"Mariana","non-dropping-particle":"","parse-names":false,"suffix":""}],"id":"ITEM-1","issued":{"date-parts":[["2011"]]},"number-of-pages":"96","publisher":"Udelar, CSE","publisher-place":"Montevideo","title":"Metodología de la investigación en Ciencias Sociales","type":"book"},"uris":["http://www.mendeley.com/documents/?uuid=d4504aff-5508-41e4-ae1e-4581a7574c03"]}],"mendeley":{"formattedCitation":"(Batthyány &amp; Cabrera, 2011)","plainTextFormattedCitation":"(Batthyány &amp; Cabrera, 2011)","previouslyFormattedCitation":"(Batthyány &amp; Cabrera, 2011)"},"properties":{"noteIndex":0},"schema":"https://github.com/citation-style-language/schema/raw/master/csl-citation.json"}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(Batthyány &amp; Cabrera, 2011)</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Este tipo de análisis es adecuado por la objetividad que ofrece en los resultados y su eficiencia en el análisis de contenidos comunicacionales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{"citationItems":[{"id":"ITEM-1","itemData":{"author":[{"dropping-particle":"","family":"Berelson","given":"Bernard","non-dropping-particle":"","parse-names":false,"suffix":""}],"id":"ITEM-1","issued":{"date-parts":[["1952"]]},"publisher":"Free Press","publisher-place":"Glencoe, Illinois","title":"Content analysis in communication research","type":"book"},"uris":["http://www.mendeley.com/documents/?uuid=0341572a-4541-46f0-9d44-f73ba2e07533"]}],"mendeley":{"formattedCitation":"(Berelson, 1952)","plainTextFormattedCitation":"(Berelson, 1952)","previouslyFormattedCitation":"(Berelson, 1952)"},"properties":{"noteIndex":0},"schema":"https://github.com/citation-style-language/schema/raw/master/csl-citation.json"}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(Berelson, 1952)</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incluidos los de las redes sociales. Prueba de ello son los numerosos estudios que han recurrido a esta técnica en este mismo ámbito, con relación a empresas de todo tipo, incluidas las plataformas de distribución de contenidos audiovisuales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Social","id":"ITEM-1","issue":"73","issued":{"date-parts":[["2018"]]},"page":"1-18","title":"Fandom televisivo y construcción de identidad. Análisis de los comentarios de las fans españolas y los community managers","type":"article-journal","volume":"2018"},"uris":["http://www.mendeley.com/documents/?uuid=e101c1c0-c2d6-4fe1-9c44-8361d532fc84"]},{"id":"ITEM-2","itemData":{"DOI":"10.3145/epi.2018.nov.12","ISBN":"0000000310","ISSN":"1386-6710","abstract":"Resumen: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Información","id":"ITEM-2","issue":"6","issued":{"date-parts":[["2018"]]},"page":"1292","title":"La estrategia de engagement de Netflix España en Twitter","type":"article-journal","volume":"27"},"uris":["http://www.mendeley.com/documents/?uuid=8dcc95d0-fef3-455b-ba0c-5a9c17ea0c53"]},{"id":"ITEM-3","itemData":{"DOI":"10.1080/16522354.2018.1481711","ISSN":"16522354","abstract":"The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Studies","id":"ITEM-3","issue":"2","issued":{"date-parts":[["2018"]]},"page":"127-146","publisher":"Routledge","title":"Connecting with audiences in new markets: Netflix´s Twitter strategy in Spain","type":"article-journal","volume":"15"},"uris":["http://www.mendeley.com/documents/?uuid=fc5dea6f-1186-46f4-b852-8cb84dbc140d"]},{"id":"ITEM-4","itemData":{"DOI":"10.24137/raeic.3.6.4","ISSN":"2341-2690","abstract":"text El 1º de enero de 2014 se cumplieron 20 años de la entrada en vigor del Tratado de Libre Comercio de América del Norte (TLCAN) firmado entre México, Estados Unidos y Canadá, periodo durante el cual la industria del cine mexicano ha experimentado una serie de crisis y transformaciones. En este trabajo se presenta un análisis de los efectos que en la producción, circulación y consumo cinematográficos de películas mexicanas han tenido las políticas económicas neoliberales, cambios a las regulaciones y apertura del mercado de la industria cinematográfica nacional que se adoptaron desde la firma del TLCAN, desde la perspectiva de la economía política de la comunicación y la cultura, en la producción cinematográfica a nivel nacional durante el periodo 1992-2013; y de la exhibición y oferta de películas en los cines comerciales a nivel local como referente empírico. Como método de estudio se utilizan la investigación documental, la técnica del análisis de contenido y la encuesta. Los resultados muestran que en la primera década posterior a la entrada del TLCAN se presentó una crisis en la industria del cine que casi la hace desaparecer; sin embargo, a partir del 2006 se observa una mejoría en la producción y consumo de películas mexicanas, no así en la exhibición.","author":[{"dropping-particle":"","family":"González Neira","given":"Ana","non-dropping-particle":"","parse-names":false,"suffix":""},{"dropping-particle":"","family":"Quintas Froufe","given":"Natalia","non-dropping-particle":"","parse-names":false,"suffix":""}],"container-title":"Revista de la Asociación Española de Investigación de la Comunicación","id":"ITEM-4","issue":"6","issued":{"date-parts":[["2016"]]},"page":"27-33","title":"El comportamiento de la audiencia lineal, social y en diferido de las series de ficción española","type":"article-journal","volume":"3"},"uris":["http://www.mendeley.com/documents/?uuid=7ac0671e-3709-496d-a39f-c760ae33ee88"]},{"id":"ITEM-5","itemData":{"ISSN":"2174-1859","abstract":"El presente trabajo pretende mostrar la importancia que tiene el papel del prosumidor a la hora de desarrollar la narrativa transmedia de las series de ficción en televisión. Las contribuciones de este nuevo tipo de consumidor no pueden ser menospreciadas, se les debe otorgar la importancia que merecen, pues sus creaciones no hacen sino aumentar la visibilidad y el valor de marca de la historia en cuestión. Para la realización de esta investigación se ha llevado a cabo un estudio del caso de la serie de ficción El Ministerio del Tiempo. El fenómeno fan originado a raíz de esta serie ha favorecido la creación de una enorme cantidad de contenido transmedia. Este artículo muestra cómo las aportaciones de los prosumidores son tan importantes como el propio desarrollo oficial de la serie. Hacen que ésta crezca y sea más completa, generando una fidelidad por parte de los espectadores mucho mayor que las series que sólo se preocupan por su desarrollo monomediático. Son un grupo especial de espectadores a los que hay que cuidar y escuchar, pues son los mayores fans de estos productos audiovisuales. Y, además, pueden encumbrar o destruir un proyecto de estas características.","author":[{"dropping-particle":"","family":"Miranda Galbe","given":"Jorge","non-dropping-particle":"","parse-names":false,"suffix":""},{"dropping-particle":"","family":"Figuero Espadas","given":"Javier","non-dropping-particle":"","parse-names":false,"suffix":""}],"container-title":"index.comunicación","id":"ITEM-5","issue":"2","issued":{"date-parts":[["2016"]]},"page":"115-134","title":"El rol del prosumidor en la expansión narrativa transmedia de las historias de ficción en televisión: el caso de ‘El Ministerio del Tiempo’","type":"article-journal","volume":"6"},"uris":["http://www.mendeley.com/documents/?uuid=714843e6-0191-4e28-aa1d-1fda2e66a400"]},{"id":"ITEM-6","itemData":{"DOI":"https://doi.org/10.14201/fjc201817193213","author":[{"dropping-particle":"","family":"Atarama-Rojas","given":"Tomás","non-dropping-particle":"","parse-names":false,"suffix":""},{"dropping-particle":"","family":"Requena Zapata","given":"Selene","non-dropping-particle":"","parse-names":false,"suffix":""}],"container-title":"Fonseca, Journal of Communication","id":"ITEM-6","issue":"17","issued":{"date-parts":[["2018"]]},"page":"193-213","title":"Narrativa Transmedia: Análisis de la participación de la audiencia en la serie 13 reasons why para la aproximación al tema del suicidio","type":"article-journal"},"uris":["http://www.mendeley.com/documents/?uuid=0115c759-f843-44f4-bb6b-80a3328d7359"]}],"mendeley":{"formattedCitation":"(Atarama-Rojas &amp; Requena Zapata, 2018; Fernández-Gómez &amp; Martín-Quevedo, 2018b, 2018a; González Neira &amp; Quintas Froufe, 2016; Lacalle &amp; Castro, 2018; Miranda Galbe &amp; Figuero Espadas, 2016)","plainTextFormattedCitation":"(Atarama-Rojas &amp; Requena Zapata, 2018; Fernández-Gómez &amp; Martín-Quevedo, 2018b, 2018a; González Neira &amp; Quintas Froufe, 2016; Lacalle &amp; Castro, 2018; Miranda Galbe &amp; Figuero Espadas, 2016)","previouslyFormattedCitation":"(Atarama-Rojas &amp; Requena Zapata, 2018; Fernández-Gómez &amp; Martín-Quevedo, 2018b, 2018a; González Neira &amp; Quintas Froufe, 2016; Lacalle &amp; Castro, 2018; Miranda Galbe &amp; Figuero Espadas, 2016)"},"properties":{"noteIndex":0},"schema":"https://github.com/citation-style-language/schema/raw/master/csl-citation.json"}</w:instrText>
      </w:r>
      <w:r w:rsidRPr="00F21E9C">
        <w:rPr>
          <w:rFonts w:ascii="Tahoma" w:eastAsia="Times" w:hAnsi="Tahoma" w:cs="Tahoma"/>
          <w:sz w:val="24"/>
          <w:szCs w:val="24"/>
        </w:rPr>
        <w:fldChar w:fldCharType="separate"/>
      </w:r>
      <w:r w:rsidRPr="00E06AEF">
        <w:rPr>
          <w:rFonts w:ascii="Tahoma" w:eastAsia="Times" w:hAnsi="Tahoma" w:cs="Tahoma"/>
          <w:noProof/>
          <w:sz w:val="24"/>
          <w:szCs w:val="24"/>
        </w:rPr>
        <w:t>(Atarama-Rojas &amp; Requena Zapata, 2018; Fernández-Gómez &amp; Martín-Quevedo, 2018b, 2018a; González Neira &amp; Quintas Froufe, 2016; Lacalle &amp; Castro, 2018; Miranda Galbe &amp; Figuero Espadas, 2016)</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La ficha de análisis se diseñó a partir de los estudios revisados sobre plataformas de distribución de contenidos audiovisuales y sobre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Información","id":"ITEM-1","issue":"6","issued":{"date-parts":[["2018"]]},"page":"1292","title":"La estrategia de engagement de Netflix España en Twitter","type":"article-journal","volume":"27"},"uris":["http://www.mendeley.com/documents/?uuid=8dcc95d0-fef3-455b-ba0c-5a9c17ea0c53"]},{"id":"ITEM-2","itemData":{"DOI":"10.1080/16522354.2018.1481711","ISSN":"16522354","abstract":"The streaming platform Netflix began to offer on-demand content in Spain in 2015. This study offers an analysis of the Twitter strategy the company implemented during its initial year in this market. We conclude that the Twitter strategy employed by Netflix during this period differed substantially from those pursued by traditional television. Netflix makes extensive use of original messages and social media conventions such as hashtags, emoticons and gifs. Analysis indicates that the brand’s Twitter followers in Spain are more likely to like and retweet messages than post replies.","author":[{"dropping-particle":"","family":"Fernández-Gómez","given":"Erika","non-dropping-particle":"","parse-names":false,"suffix":""},{"dropping-particle":"","family":"Martín-Quevedo","given":"Juan","non-dropping-particle":"","parse-names":false,"suffix":""}],"container-title":"Journal of Media Business Studies","id":"ITEM-2","issue":"2","issued":{"date-parts":[["2018"]]},"page":"127-146","publisher":"Routledge","title":"Connecting with audiences in new markets: Netflix´s Twitter strategy in Spain","type":"article-journal","volume":"15"},"uris":["http://www.mendeley.com/documents/?uuid=fc5dea6f-1186-46f4-b852-8cb84dbc140d"]},{"id":"ITEM-3","itemData":{"DOI":"10.3145/epi.2015.may.03","ISSN":"16992407","abstract":"One of the most important trends in current television research has to do with the increasing impact of social media on viewing and consumption. This article reviews the literature on social media and television included in the Web of Science database from 2005 to 2013 in order to find the main research questions guiding academic research within media studies. The topics investigated included the theoretical approach and definition of social television, the central role of Twitter as the main social tool for second-screen activities, the prominence of \"reality TV\" as the most social genre on television, and new mainstream forms of television fandom. The conclusion of this article reflects on possible limitations of these studies and new paths of research.","author":[{"dropping-particle":"","family":"Segado-Boj","given":"Francisco","non-dropping-particle":"","parse-names":false,"suffix":""},{"dropping-particle":"","family":"Grandío","given":"María Del Mar","non-dropping-particle":"","parse-names":false,"suffix":""},{"dropping-particle":"","family":"Fernández-Gómez","given":"Erika","non-dropping-particle":"","parse-names":false,"suffix":""}],"container-title":"Profesional de la Informacion","id":"ITEM-3","issue":"3","issued":{"date-parts":[["2015"]]},"page":"227-234","title":"Social media and television: A bibliographic review based on the web of science","type":"article-journal","volume":"24"},"uris":["http://www.mendeley.com/documents/?uuid=3dd92780-d01e-456b-adb2-1d89f9c0c40c"]},{"id":"ITEM-4","itemData":{"DOI":"10.6035/2174-0992.2019.18.11","abstract":"Brands have been able to adapt to each specific reality throughout their historical evolution. Its identity, symbolic and intangible, has taken prominence in the face of products and their purely functional benefits. The arrival of the XXIst century carries a series of very profound disruptive changes: technological democratization, hyperconnected global reality, liquid society, microsegmentation, etc. This fact becomes a clear paradigm shift that empowers both users and brands, placing them in a peer relationship where the digital environment conditions the main communication relationships. Brands advance in the professionalization of their strategic and integral management process, offering relevant content that helps them create unique experiences through a powerful engagement with the user. Netflix is ​​one of the brands that has gained the most global notoriety in recent years as a result of its strategic policy, business volume, communication policy and content offer. This question validates the pertinence of this research focused on analyzing, through a prior theoretical development of the discipline and its subsequent adaptation to a case study, the main elements that shape the policy of strategic brand management carried out for this platform of entertainment in streaming. Considering the nature of the study and, once analyzed the main results extracted, we observe how the contents play an absolutely essential role in the overall and strategic management policy of the Netflix brand. The protagonism of the contents in the construction of the brand is transversal and goes from the very concept of business to the implementation of the strategy through its main advertising and promotional communication actions.","author":[{"dropping-particle":"","family":"Mayorga Escalada","given":"Santiago","non-dropping-particle":"","parse-names":false,"suffix":""}],"container-title":"adComunica. Revista Científica de Estrategias, Tendencias e Innovación en Comunicación","id":"ITEM-4","issue":"18","issued":{"date-parts":[["2019"]]},"page":"219-244","title":"Netflix, estrategia y gestión de marca en torno a la relevancia de los contenidos","type":"article-journal"},"uris":["http://www.mendeley.com/documents/?uuid=f817ce57-2809-41c3-83e5-4e0f1f60f89c"]},{"id":"ITEM-5","itemData":{"DOI":"https://doi.org/10.31207/rch.v9i2.172","abstract":"Las cadenas de televisión han visto en el uso de las redes sociales una oportunidad para favorecer la relación con sus audiencias y conocerlas mejor, y esto ha sido objeto de interés de la profesión y la academia. También lo ha sido el uso de Twitter como parte de su estrategia de comunicación. El desarrollo de los servicios audiovisuales bajo demanda, que alteran los patrones de consumo tradicional, sugiere un marco diferente en estudio del uso de las redes sociales, Twitter en particular. El objetivo de este estudio es el análisis del discurso que mantiene Netflix en la red social Twitter. Nos preguntamos cómo se relaciona la marca con los consumidores fuera de su canal propio –su aplicación, su plataforma-. Es decir, qué tipo de conversaciones mantiene en un espacio público, si lo hace; en qué se centran esas conversaciones y cuál es el peso de los contenidos de su catálogo en ellas. Para ello, combinaremos la creación de un marco teórico para la comprensión del uso de Twitter en un servicio de video bajo demanda con el estudio del caso de Netflix España centrándonos en un mes concreto al año siguiente de su lanzamiento. El objetivo final consiste en extraer tendencias que apunten a prácticas paradigmáticas para el mantenimiento de una relación de engagement a través de Twitter en un servicio de video bajo demanda.","author":[{"dropping-particle":"","family":"Herrero Subías","given":"Mónica","non-dropping-particle":"","parse-names":false,"suffix":""},{"dropping-particle":"","family":"Urgellés Molina","given":"Alicia","non-dropping-particle":"","parse-names":false,"suffix":""}],"container-title":"Revista Comhumanitas","id":"ITEM-5","issue":"2","issued":{"date-parts":[["2018"]]},"page":"175-191","title":"Generación de engagement con un servicio de vídeo bajo demanda en Twitter. El caso de Netflix España","type":"article-journal","volume":"9"},"uris":["http://www.mendeley.com/documents/?uuid=9b5c7665-b171-429d-9318-630b5e5a11dd"]},{"id":"ITEM-6","itemData":{"abstract":"Netflix is one of the favorite media companies of teenagers thanks to its flat subscription plan, in which customers pay a monthly fee for an unlimited number of movies, together with a vast number of films and valuable original productions. Even if a real 'teen cluster' does not exist for Netflix's algorithm, this article tries to outline a profile of the average teen viewer based on marketing and personal researches on what iGen thinks about Netflix and the way they use it. On the other hand, a part is dedicated to the way in which Netflix is in touch with young people and has found a key to reaching the widest audience of kids, teenagers and adults in producing more and more coming of age stories, teen movies and series with a universal vintage glamour. The idea is to explore the relationship between Netflix and teenagers as an essential part of the aesthetics of abstraction of the world's most popular streaming service. © 2018 Vita e Pensiero / Pubblicazioni dell'Università Cattolica del Sacro Cuore.","author":[{"dropping-particle":"","family":"Becattini","given":"E","non-dropping-particle":"","parse-names":false,"suffix":""}],"container-title":"Comunicazioni Sociali","id":"ITEM-6","issued":{"date-parts":[["2018","1","1"]]},"page":"207-217","title":"When we were young: Netflix and the teen audience","type":"article-journal","volume":"2018"},"uris":["http://www.mendeley.com/documents/?uuid=1a709bec-8f91-4802-b975-2957f6761e12"]},{"id":"ITEM-7","itemData":{"author":[{"dropping-particle":"","family":"Martínez-Sala","given":"Alba-María","non-dropping-particle":"","parse-names":false,"suffix":""},{"dropping-particle":"","family":"Prado-Jiménez","given":"Carlos-Eduardo","non-dropping-particle":"","parse-names":false,"suffix":""}],"container-title":"Las nuevas narrativas en el entorno social","editor":[{"dropping-particle":"","family":"Rodríguez Breijo","given":"Vanessa","non-dropping-particle":"","parse-names":false,"suffix":""},{"dropping-particle":"","family":"Trenta","given":"Milena","non-dropping-particle":"","parse-names":false,"suffix":""},{"dropping-particle":"","family":"Toledano Buendía","given":"Samuel","non-dropping-particle":"","parse-names":false,"suffix":""},{"dropping-particle":"","family":"Hernández","given":"Ciro","non-dropping-particle":"","parse-names":false,"suffix":""},{"dropping-particle":"","family":"Ardèvol Abreu","given":"Alberto","non-dropping-particle":"","parse-names":false,"suffix":""},{"dropping-particle":"","family":"Álvarez Nobell","given":"Alejandro","non-dropping-particle":"","parse-names":false,"suffix":""},{"dropping-particle":"","family":"Morales","given":"Lucas","non-dropping-particle":"","parse-names":false,"suffix":""},{"dropping-particle":"","family":"Hidalgo-Marí","given":"Tatiana","non-dropping-particle":"","parse-names":false,"suffix":""},{"dropping-particle":"","family":"Barrientos-Báez","given":"Almudena","non-dropping-particle":"","parse-names":false,"suffix":""}],"id":"ITEM-7","issued":{"date-parts":[["2019"]]},"page":"111-112","publisher":"Sociedad Latina de Comunicación Social","publisher-place":"La Laguna","title":"El papel del fandom televisivo en la estrategia de comunicación digital de Netflix. Análisis de la interacción y engagement online en Twitter","type":"paper-conference"},"uris":["http://www.mendeley.com/documents/?uuid=829fba55-4a56-48af-89e0-bc170ab60e4a"]}],"mendeley":{"formattedCitation":"(Becattini, 2018; Fernández-Gómez &amp; Martín-Quevedo, 2018b, 2018a; Herrero Subías &amp; Urgellés Molina, 2018; Martínez-Sala &amp; Prado-Jiménez, 2019; Mayorga Escalada, 2019; Segado-Boj et al., 2015)","plainTextFormattedCitation":"(Becattini, 2018; Fernández-Gómez &amp; Martín-Quevedo, 2018b, 2018a; Herrero Subías &amp; Urgellés Molina, 2018; Martínez-Sala &amp; Prado-Jiménez, 2019; Mayorga Escalada, 2019; Segado-Boj et al., 2015)","previouslyFormattedCitation":"(Becattini, 2018; Fernández-Gómez &amp; Martín-Quevedo, 2018b, 2018a; Herrero Subías &amp; Urgellés Molina, 2018; Martínez-Sala &amp; Prado-Jiménez, 2019; Mayorga Escalada, 2019; Segado-Boj et al., 2015)"},"properties":{"noteIndex":0},"schema":"https://github.com/citation-style-language/schema/raw/master/csl-citation.json"}</w:instrText>
      </w:r>
      <w:r w:rsidRPr="00F21E9C">
        <w:rPr>
          <w:rFonts w:ascii="Tahoma" w:eastAsia="Times" w:hAnsi="Tahoma" w:cs="Tahoma"/>
          <w:sz w:val="24"/>
          <w:szCs w:val="24"/>
        </w:rPr>
        <w:fldChar w:fldCharType="separate"/>
      </w:r>
      <w:r w:rsidRPr="004B212F">
        <w:rPr>
          <w:rFonts w:ascii="Tahoma" w:eastAsia="Times" w:hAnsi="Tahoma" w:cs="Tahoma"/>
          <w:noProof/>
          <w:sz w:val="24"/>
          <w:szCs w:val="24"/>
        </w:rPr>
        <w:t xml:space="preserve">(Becattini, 2018; Fernández-Gómez &amp; Martín-Quevedo, 2018b, 2018a; Herrero Subías &amp; Urgellés Molina, 2018; Martínez-Sala &amp; Prado-Jiménez, 2019; Mayorga Escalada, 2019; Segado-Boj </w:t>
      </w:r>
      <w:r w:rsidRPr="00672817">
        <w:rPr>
          <w:rFonts w:ascii="Tahoma" w:eastAsia="Times" w:hAnsi="Tahoma" w:cs="Tahoma"/>
          <w:i/>
          <w:noProof/>
          <w:sz w:val="24"/>
          <w:szCs w:val="24"/>
        </w:rPr>
        <w:t>et al.</w:t>
      </w:r>
      <w:r w:rsidRPr="004B212F">
        <w:rPr>
          <w:rFonts w:ascii="Tahoma" w:eastAsia="Times" w:hAnsi="Tahoma" w:cs="Tahoma"/>
          <w:noProof/>
          <w:sz w:val="24"/>
          <w:szCs w:val="24"/>
        </w:rPr>
        <w:t>, 2015)</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La propuesta inicial fue evaluada y validada por dos investigadoras académicas de acreditada trayectoria en el ámbito de la comunicación digital y por una prestigiosa empresa especializada en </w:t>
      </w:r>
      <w:r w:rsidRPr="00F21E9C">
        <w:rPr>
          <w:rFonts w:ascii="Tahoma" w:eastAsia="Times" w:hAnsi="Tahoma" w:cs="Tahoma"/>
          <w:i/>
          <w:iCs/>
          <w:sz w:val="24"/>
          <w:szCs w:val="24"/>
        </w:rPr>
        <w:t>marketing</w:t>
      </w:r>
      <w:r w:rsidRPr="00F21E9C">
        <w:rPr>
          <w:rFonts w:ascii="Tahoma" w:eastAsia="Times" w:hAnsi="Tahoma" w:cs="Tahoma"/>
          <w:sz w:val="24"/>
          <w:szCs w:val="24"/>
        </w:rPr>
        <w:t xml:space="preserve"> digital. El análisis fue realizado por una única persona a partir de la ficha de análisis resultante (Tabla 1). Esta consta de tres apartados: presencia, tipología de las publicaciones e interacción. </w:t>
      </w:r>
      <w:r>
        <w:rPr>
          <w:rFonts w:ascii="Tahoma" w:eastAsia="Times" w:hAnsi="Tahoma" w:cs="Tahoma"/>
          <w:sz w:val="24"/>
          <w:szCs w:val="24"/>
        </w:rPr>
        <w:t>La</w:t>
      </w:r>
      <w:r w:rsidRPr="00F21E9C">
        <w:rPr>
          <w:rFonts w:ascii="Tahoma" w:eastAsia="Times" w:hAnsi="Tahoma" w:cs="Tahoma"/>
          <w:sz w:val="24"/>
          <w:szCs w:val="24"/>
        </w:rPr>
        <w:t xml:space="preserve"> tipología contempla dos </w:t>
      </w:r>
      <w:proofErr w:type="spellStart"/>
      <w:r w:rsidRPr="00F21E9C">
        <w:rPr>
          <w:rFonts w:ascii="Tahoma" w:eastAsia="Times" w:hAnsi="Tahoma" w:cs="Tahoma"/>
          <w:sz w:val="24"/>
          <w:szCs w:val="24"/>
        </w:rPr>
        <w:t>subapartados</w:t>
      </w:r>
      <w:proofErr w:type="spellEnd"/>
      <w:r w:rsidRPr="00F21E9C">
        <w:rPr>
          <w:rFonts w:ascii="Tahoma" w:eastAsia="Times" w:hAnsi="Tahoma" w:cs="Tahoma"/>
          <w:sz w:val="24"/>
          <w:szCs w:val="24"/>
        </w:rPr>
        <w:t xml:space="preserve">: contenido y finalidad. El primero </w:t>
      </w:r>
      <w:r>
        <w:rPr>
          <w:rFonts w:ascii="Tahoma" w:eastAsia="Times" w:hAnsi="Tahoma" w:cs="Tahoma"/>
          <w:sz w:val="24"/>
          <w:szCs w:val="24"/>
        </w:rPr>
        <w:t>se ocupa del</w:t>
      </w:r>
      <w:r w:rsidRPr="00F21E9C">
        <w:rPr>
          <w:rFonts w:ascii="Tahoma" w:eastAsia="Times" w:hAnsi="Tahoma" w:cs="Tahoma"/>
          <w:sz w:val="24"/>
          <w:szCs w:val="24"/>
        </w:rPr>
        <w:t xml:space="preserve"> potencial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y distingue las publicaciones relativas a series del resto. Además, dentro de las primeras se diferencia las series propias de la cadena de las producidas por otras plataformas dado que, como se ha constatado</w:t>
      </w:r>
      <w:r>
        <w:rPr>
          <w:rFonts w:ascii="Tahoma" w:eastAsia="Times" w:hAnsi="Tahoma" w:cs="Tahoma"/>
          <w:sz w:val="24"/>
          <w:szCs w:val="24"/>
        </w:rPr>
        <w:t>,</w:t>
      </w:r>
      <w:r w:rsidRPr="00F21E9C">
        <w:rPr>
          <w:rFonts w:ascii="Tahoma" w:eastAsia="Times" w:hAnsi="Tahoma" w:cs="Tahoma"/>
          <w:sz w:val="24"/>
          <w:szCs w:val="24"/>
        </w:rPr>
        <w:t xml:space="preserve">  incluso los </w:t>
      </w:r>
      <w:r w:rsidRPr="00F21E9C">
        <w:rPr>
          <w:rFonts w:ascii="Tahoma" w:eastAsia="Times" w:hAnsi="Tahoma" w:cs="Tahoma"/>
          <w:i/>
          <w:iCs/>
          <w:sz w:val="24"/>
          <w:szCs w:val="24"/>
        </w:rPr>
        <w:t>fans</w:t>
      </w:r>
      <w:r w:rsidRPr="00F21E9C">
        <w:rPr>
          <w:rFonts w:ascii="Tahoma" w:eastAsia="Times" w:hAnsi="Tahoma" w:cs="Tahoma"/>
          <w:sz w:val="24"/>
          <w:szCs w:val="24"/>
        </w:rPr>
        <w:t xml:space="preserve"> de otras series tienen mayor predisposición a interactuar</w:t>
      </w:r>
      <w:r w:rsidRPr="00F21E9C">
        <w:rPr>
          <w:rFonts w:ascii="Tahoma" w:eastAsia="Times" w:hAnsi="Tahoma" w:cs="Tahoma"/>
          <w:i/>
          <w:iCs/>
          <w:sz w:val="24"/>
          <w:szCs w:val="24"/>
        </w:rPr>
        <w:t xml:space="preserve"> </w:t>
      </w:r>
      <w:r w:rsidRPr="00F21E9C">
        <w:rPr>
          <w:rFonts w:ascii="Tahoma" w:eastAsia="Times" w:hAnsi="Tahoma" w:cs="Tahoma"/>
          <w:i/>
          <w:iCs/>
          <w:sz w:val="24"/>
          <w:szCs w:val="24"/>
        </w:rPr>
        <w:fldChar w:fldCharType="begin" w:fldLock="1"/>
      </w:r>
      <w:r w:rsidRPr="00F21E9C">
        <w:rPr>
          <w:rFonts w:ascii="Tahoma" w:eastAsia="Times" w:hAnsi="Tahoma" w:cs="Tahoma"/>
          <w:i/>
          <w:iCs/>
          <w:sz w:val="24"/>
          <w:szCs w:val="24"/>
        </w:rPr>
        <w:instrText>ADDIN CSL_CITATION {"citationItems":[{"id":"ITEM-1","itemData":{"DOI":"10.3145/epi.2017.nov.13","ISBN":"0000000259835","ISSN":"1386-6710","abstract":"Fan communities are increasingly important to television fiction series. The department of time television series ( TVE ) is examined in relation to this trend, with a focus on social networks. A sample of approximately 3,600 people calling themselves “ministerics” participated in the study. The analysis is carried out in the context of the convergence of media and transmedia, where the Net exerts particular influence on their program strategies and their contents, an it is focused to the production and promotion of audiovisual creations aimed at a general audience. This research is of special interest within the field of fan studies because it confirms the intensity and diversity of fans and shows the relevance that it has in national television, particularly in public television.","author":[{"dropping-particle":"","family":"Torregrosa-Carmona","given":"Juan-Francisco","non-dropping-particle":"","parse-names":false,"suffix":""},{"dropping-particle":"","family":"Rodríguez-Gómez","given":"Elena","non-dropping-particle":"","parse-names":false,"suffix":""}],"container-title":"El Profesional de la Información","id":"ITEM-1","issue":"6","issued":{"date-parts":[["2017"]]},"page":"1139","title":"Comunidades de fans y ficción televisiva. Estudio de caso: El ministerio del tiempo (TVE)","type":"article-journal","volume":"26"},"uris":["http://www.mendeley.com/documents/?uuid=4d95a773-0bf3-41f2-b03f-94fe0e38dab0"]}],"mendeley":{"formattedCitation":"(Torregrosa-Carmona &amp; Rodríguez-Gómez, 2017)","plainTextFormattedCitation":"(Torregrosa-Carmona &amp; Rodríguez-Gómez, 2017)","previouslyFormattedCitation":"(Torregrosa-Carmona &amp; Rodríguez-Gómez, 2017)"},"properties":{"noteIndex":0},"schema":"https://github.com/citation-style-language/schema/raw/master/csl-citation.json"}</w:instrText>
      </w:r>
      <w:r w:rsidRPr="00F21E9C">
        <w:rPr>
          <w:rFonts w:ascii="Tahoma" w:eastAsia="Times" w:hAnsi="Tahoma" w:cs="Tahoma"/>
          <w:i/>
          <w:iCs/>
          <w:sz w:val="24"/>
          <w:szCs w:val="24"/>
        </w:rPr>
        <w:fldChar w:fldCharType="separate"/>
      </w:r>
      <w:r w:rsidRPr="00F21E9C">
        <w:rPr>
          <w:rFonts w:ascii="Tahoma" w:eastAsia="Times" w:hAnsi="Tahoma" w:cs="Tahoma"/>
          <w:iCs/>
          <w:noProof/>
          <w:sz w:val="24"/>
          <w:szCs w:val="24"/>
        </w:rPr>
        <w:t>(Torregrosa-Carmona &amp; Rodríguez-Gómez, 2017)</w:t>
      </w:r>
      <w:r w:rsidRPr="00F21E9C">
        <w:rPr>
          <w:rFonts w:ascii="Tahoma" w:eastAsia="Times" w:hAnsi="Tahoma" w:cs="Tahoma"/>
          <w:i/>
          <w:iCs/>
          <w:sz w:val="24"/>
          <w:szCs w:val="24"/>
        </w:rPr>
        <w:fldChar w:fldCharType="end"/>
      </w:r>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Así mismo, esta distinción contribuye al logro del objetivo principal de esta investigación: dotar a la marca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de las herramientas necesarias para atender las expectativas del público adolescente al tiempo que logra sus propios objetivos.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La dimensión relativa a la finalidad se construye a partir del tipo de comunicación que se potencia, la unidireccional y la bidireccional o multidireccional, distinguiendo entre las publicaciones comerciales y participativas respectivamente. Esta categorización se incluye por la importancia que esta característica tiene para los usuarios, máxime en el caso de los adolescentes, siendo crucial para la generación de conversación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{"citationItems":[{"id":"ITEM-1","itemData":{"ISSN":"1134-3478","abstract":"los profundos cambios acaecidos en la configuración del contexto mediático en los últimos tiempos han generado cambios tanto en el medio televisivo como en las relaciones establecidas con él. es por ello que resulta necesario conocer cómo consumen la televisión los jóvenes actuales en aras de crear estrategias que ayuden a capacitarlos en la utilización de este medio. Con este fin, en esta investigación se han estudiado las pautas de consumo televisivo de 553 adolescentes (267 chicos y 286 chicas) de irlanda, españa y México, de edades comprendidas entre 14 y 19 años. Mediante la aplicación de dos cuestionarios (Ch-tv 0.2 y valtv 0.2) se han podido detectar cuatro pautas de consumo generalizables a todos los contextos estudiados. dos de estas pautas, diferencian el consumo entre hombres (Crítico-Cultural) y mujeres (social-Conversacional), siendo ellos los que realizan un consumo más cultural e informativo y ellas, más dirigido a entablar conversación con sus amistades. en lo que a las otras dos pautas se refiere, la percepción de un clima conflictivo (consumo Conflictivo-pasivo) o la de una mediación responsable (consumo Comprometido-positivo) son algunas de las variables que marcan las diferencias. además, se han detectado aquellos factores que presentan mayor poder discriminativo en la configuración de estas pautas, siendo la preferencia mostrada hacia los géneros televisivos el factor más discriminante entre los estudiados. sin embargo, la permanencia, el realismo percibido y el contexto cultural no han resultado ser determinantes.","author":[{"dropping-particle":"","family":"Ugalde Lujambio","given":"Leire","non-dropping-particle":"","parse-names":false,"suffix":""},{"dropping-particle":"","family":"Martínez","given":"Juan","non-dropping-particle":"","parse-names":false,"suffix":""},{"dropping-particle":"","family":"Medrano Samaniego","given":"María","non-dropping-particle":"","parse-names":false,"suffix":""}],"container-title":"Comunicar: Revista científica iberoamericana de comunicación y educación","id":"ITEM-1","issue":"50","issued":{"date-parts":[["2017"]]},"page":"67-76","title":"Pautas de consumo televisivo en adolescentes de la era digital: un estudio transcultural","type":"article-journal"},"uris":["http://www.mendeley.com/documents/?uuid=93e244c8-33eb-409e-97fe-35919487a116"]},{"id":"ITEM-2","itemData":{"DOI":"https://doi.org/10.14201/fjc201817193213","author":[{"dropping-particle":"","family":"Atarama-Rojas","given":"Tomás","non-dropping-particle":"","parse-names":false,"suffix":""},{"dropping-particle":"","family":"Requena Zapata","given":"Selene","non-dropping-particle":"","parse-names":false,"suffix":""}],"container-title":"Fonseca, Journal of Communication","id":"ITEM-2","issue":"17","issued":{"date-parts":[["2018"]]},"page":"193-213","title":"Narrativa Transmedia: Análisis de la participación de la audiencia en la serie 13 reasons why para la aproximación al tema del suicidio","type":"article-journal"},"uris":["http://www.mendeley.com/documents/?uuid=0115c759-f843-44f4-bb6b-80a3328d7359"]}],"mendeley":{"formattedCitation":"(Atarama-Rojas &amp; Requena Zapata, 2018; Ugalde Lujambio et al., 2017)","plainTextFormattedCitation":"(Atarama-Rojas &amp; Requena Zapata, 2018; Ugalde Lujambio et al., 2017)","previouslyFormattedCitation":"(Atarama-Rojas &amp; Requena Zapata, 2018; Ugalde Lujambio et al., 2017)"},"properties":{"noteIndex":0},"schema":"https://github.com/citation-style-language/schema/raw/master/csl-citation.json"}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 xml:space="preserve">(Atarama-Rojas &amp; Requena Zapata, 2018; Ugalde Lujambio </w:t>
      </w:r>
      <w:r w:rsidRPr="00672817">
        <w:rPr>
          <w:rFonts w:ascii="Tahoma" w:eastAsia="Times" w:hAnsi="Tahoma" w:cs="Tahoma"/>
          <w:i/>
          <w:iCs/>
          <w:noProof/>
          <w:sz w:val="24"/>
          <w:szCs w:val="24"/>
        </w:rPr>
        <w:t>et al.</w:t>
      </w:r>
      <w:r w:rsidRPr="00F21E9C">
        <w:rPr>
          <w:rFonts w:ascii="Tahoma" w:eastAsia="Times" w:hAnsi="Tahoma" w:cs="Tahoma"/>
          <w:noProof/>
          <w:sz w:val="24"/>
          <w:szCs w:val="24"/>
        </w:rPr>
        <w:t>, 2017)</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En el último apartado, el relativo a la interacción, se cuantifica el número de “me gusta”, de “</w:t>
      </w:r>
      <w:proofErr w:type="spellStart"/>
      <w:r w:rsidRPr="00F21E9C">
        <w:rPr>
          <w:rFonts w:ascii="Tahoma" w:eastAsia="Times" w:hAnsi="Tahoma" w:cs="Tahoma"/>
          <w:i/>
          <w:iCs/>
          <w:sz w:val="24"/>
          <w:szCs w:val="24"/>
        </w:rPr>
        <w:t>retweets</w:t>
      </w:r>
      <w:proofErr w:type="spellEnd"/>
      <w:r w:rsidRPr="00F21E9C">
        <w:rPr>
          <w:rFonts w:ascii="Tahoma" w:eastAsia="Times" w:hAnsi="Tahoma" w:cs="Tahoma"/>
          <w:sz w:val="24"/>
          <w:szCs w:val="24"/>
        </w:rPr>
        <w:t>”</w:t>
      </w:r>
      <w:r w:rsidRPr="00C9773A">
        <w:rPr>
          <w:rStyle w:val="Refdenotaalpie"/>
        </w:rPr>
        <w:footnoteReference w:id="2"/>
      </w:r>
      <w:r w:rsidRPr="00F21E9C">
        <w:rPr>
          <w:rFonts w:ascii="Tahoma" w:eastAsia="Times" w:hAnsi="Tahoma" w:cs="Tahoma"/>
          <w:sz w:val="24"/>
          <w:szCs w:val="24"/>
        </w:rPr>
        <w:t xml:space="preserve"> y de comentarios. Los datos resultantes permiten calcular 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author":[{"dropping-particle":"","family":"Martínez-Sala","given":"Alba-María","non-dropping-particle":"","parse-names":false,"suffix":""},{"dropping-particle":"","family":"Segarra-Saavedra","given":"J.","non-dropping-particle":"","parse-names":false,"suffix":""}],"container-title":"Tendencias de la Comunicación para el Turismo","editor":[{"dropping-particle":"","family":"Altamirano-Benítez","given":"V.","non-dropping-particle":"","parse-names":false,"suffix":""},{"dropping-particle":"","family":"Túñez-López","given":"M.","non-dropping-particle":"","parse-names":false,"suffix":""},{"dropping-particle":"","family":"Marín-Gutiérrez","given":"I.","non-dropping-particle":"","parse-names":false,"suffix":""}],"id":"ITEM-1","issued":{"date-parts":[["2020"]]},"page":"149-183","publisher":"Editorial Dykinson","publisher-place":"Madrid","title":"Engagement y disengagement online, factores clave en las estrategias de comunicación turística 2.0.","type":"chapter"},"uris":["http://www.mendeley.com/documents/?uuid=cb7662fc-b6a0-487b-a4b9-4cec3f1b7033"]}],"mendeley":{"formattedCitation":"(Martínez-Sala &amp; Segarra-Saavedra, 2020)","plainTextFormattedCitation":"(Martínez-Sala &amp; Segarra-Saavedra, 2020)","previouslyFormattedCitation":"(Martínez-Sala &amp; Segarra-Saavedra, 2020)"},"properties":{"noteIndex":0},"schema":"https://github.com/citation-style-language/schema/raw/master/csl-citation.json"}</w:instrText>
      </w:r>
      <w:r w:rsidRPr="00F21E9C">
        <w:rPr>
          <w:rFonts w:ascii="Tahoma" w:eastAsia="Times" w:hAnsi="Tahoma" w:cs="Tahoma"/>
          <w:sz w:val="24"/>
          <w:szCs w:val="24"/>
        </w:rPr>
        <w:fldChar w:fldCharType="separate"/>
      </w:r>
      <w:r w:rsidRPr="004B212F">
        <w:rPr>
          <w:rFonts w:ascii="Tahoma" w:eastAsia="Times" w:hAnsi="Tahoma" w:cs="Tahoma"/>
          <w:noProof/>
          <w:sz w:val="24"/>
          <w:szCs w:val="24"/>
        </w:rPr>
        <w:t>(Martínez-Sala &amp; Segarra-Saavedra, 2020)</w:t>
      </w:r>
      <w:r w:rsidRPr="00F21E9C">
        <w:rPr>
          <w:rFonts w:ascii="Tahoma" w:eastAsia="Times" w:hAnsi="Tahoma" w:cs="Tahoma"/>
          <w:sz w:val="24"/>
          <w:szCs w:val="24"/>
        </w:rPr>
        <w:fldChar w:fldCharType="end"/>
      </w:r>
      <w:r w:rsidRPr="00F21E9C">
        <w:rPr>
          <w:rFonts w:ascii="Tahoma" w:eastAsia="Times" w:hAnsi="Tahoma" w:cs="Tahoma"/>
          <w:sz w:val="24"/>
          <w:szCs w:val="24"/>
        </w:rPr>
        <w:t>.</w:t>
      </w:r>
    </w:p>
    <w:p w:rsidR="007E7893" w:rsidRPr="00F21E9C" w:rsidRDefault="007E7893" w:rsidP="00740778">
      <w:pPr>
        <w:spacing w:after="0"/>
        <w:ind w:firstLine="284"/>
        <w:jc w:val="both"/>
        <w:rPr>
          <w:rFonts w:ascii="Tahoma" w:eastAsia="Times" w:hAnsi="Tahoma" w:cs="Tahoma"/>
          <w:sz w:val="24"/>
          <w:szCs w:val="24"/>
        </w:rPr>
      </w:pPr>
    </w:p>
    <w:p w:rsidR="00D52EA2" w:rsidRDefault="00D52EA2" w:rsidP="00740778">
      <w:pPr>
        <w:spacing w:after="0"/>
        <w:rPr>
          <w:rFonts w:ascii="Tahoma" w:eastAsia="Times" w:hAnsi="Tahoma" w:cs="Tahoma"/>
          <w:b/>
          <w:bCs/>
          <w:i/>
          <w:iCs/>
          <w:sz w:val="24"/>
          <w:szCs w:val="24"/>
        </w:rPr>
      </w:pPr>
      <w:r w:rsidRPr="00F21E9C">
        <w:rPr>
          <w:rFonts w:ascii="Tahoma" w:eastAsia="Times" w:hAnsi="Tahoma" w:cs="Tahoma"/>
          <w:b/>
          <w:bCs/>
          <w:i/>
          <w:iCs/>
          <w:sz w:val="24"/>
          <w:szCs w:val="24"/>
        </w:rPr>
        <w:t xml:space="preserve">Tabla 1. </w:t>
      </w:r>
      <w:r w:rsidRPr="00F21E9C">
        <w:rPr>
          <w:rFonts w:ascii="Tahoma" w:eastAsia="Times" w:hAnsi="Tahoma" w:cs="Tahoma"/>
          <w:i/>
          <w:iCs/>
          <w:sz w:val="24"/>
          <w:szCs w:val="24"/>
        </w:rPr>
        <w:t>Ficha de análisis</w:t>
      </w:r>
      <w:r w:rsidRPr="00F21E9C">
        <w:rPr>
          <w:rFonts w:ascii="Tahoma" w:eastAsia="Times" w:hAnsi="Tahoma" w:cs="Tahoma"/>
          <w:b/>
          <w:bCs/>
          <w:i/>
          <w:iCs/>
          <w:sz w:val="24"/>
          <w:szCs w:val="24"/>
        </w:rPr>
        <w:t xml:space="preserve"> </w:t>
      </w:r>
    </w:p>
    <w:p w:rsidR="005D3F1F" w:rsidRPr="00F21E9C" w:rsidRDefault="005D3F1F" w:rsidP="00740778">
      <w:pPr>
        <w:spacing w:after="0"/>
        <w:rPr>
          <w:rFonts w:ascii="Tahoma" w:eastAsia="Times" w:hAnsi="Tahoma" w:cs="Tahoma"/>
          <w:b/>
          <w:bCs/>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5728"/>
      </w:tblGrid>
      <w:tr w:rsidR="00D52EA2" w:rsidRPr="00F21E9C" w:rsidTr="00D52EA2">
        <w:trPr>
          <w:jc w:val="center"/>
        </w:trPr>
        <w:tc>
          <w:tcPr>
            <w:tcW w:w="9056" w:type="dxa"/>
            <w:gridSpan w:val="2"/>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PRESENCIA</w:t>
            </w:r>
          </w:p>
        </w:tc>
      </w:tr>
      <w:tr w:rsidR="00D52EA2" w:rsidRPr="00F21E9C" w:rsidTr="00D52EA2">
        <w:trPr>
          <w:jc w:val="center"/>
        </w:trPr>
        <w:tc>
          <w:tcPr>
            <w:tcW w:w="3328" w:type="dxa"/>
            <w:shd w:val="clear" w:color="auto" w:fill="auto"/>
          </w:tcPr>
          <w:p w:rsidR="00D52EA2" w:rsidRPr="00F21E9C" w:rsidRDefault="00D52EA2" w:rsidP="00740778">
            <w:pPr>
              <w:spacing w:after="0"/>
              <w:jc w:val="both"/>
              <w:rPr>
                <w:rFonts w:ascii="Tahoma" w:eastAsia="Times" w:hAnsi="Tahoma" w:cs="Tahoma"/>
                <w:sz w:val="20"/>
                <w:szCs w:val="20"/>
              </w:rPr>
            </w:pPr>
            <w:proofErr w:type="spellStart"/>
            <w:r w:rsidRPr="00F21E9C">
              <w:rPr>
                <w:rFonts w:ascii="Tahoma" w:eastAsia="Times" w:hAnsi="Tahoma" w:cs="Tahoma"/>
                <w:sz w:val="20"/>
                <w:szCs w:val="20"/>
              </w:rPr>
              <w:t>url</w:t>
            </w:r>
            <w:proofErr w:type="spellEnd"/>
          </w:p>
        </w:tc>
        <w:tc>
          <w:tcPr>
            <w:tcW w:w="5728"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Enlace al perfil de la marca en Twitter e Instagram</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Total publicaciones</w:t>
            </w:r>
          </w:p>
        </w:tc>
        <w:tc>
          <w:tcPr>
            <w:tcW w:w="5728"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Número total de publicaciones difundidas por la marca al finalizar el periodo de análisis.</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Siguiendo</w:t>
            </w:r>
          </w:p>
        </w:tc>
        <w:tc>
          <w:tcPr>
            <w:tcW w:w="5728"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Número de perfiles seguidos al finalizar el periodo de análisis.</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Seguidores</w:t>
            </w:r>
          </w:p>
        </w:tc>
        <w:tc>
          <w:tcPr>
            <w:tcW w:w="5728"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Número de seguidores al finalizar el periodo de análisis.</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Total “me gusta”</w:t>
            </w:r>
          </w:p>
        </w:tc>
        <w:tc>
          <w:tcPr>
            <w:tcW w:w="5728"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Número total de “me gusta” al finalizar el periodo de análisis.</w:t>
            </w:r>
          </w:p>
        </w:tc>
      </w:tr>
      <w:tr w:rsidR="00D52EA2" w:rsidRPr="00F21E9C" w:rsidTr="00D52EA2">
        <w:trPr>
          <w:jc w:val="center"/>
        </w:trPr>
        <w:tc>
          <w:tcPr>
            <w:tcW w:w="9056" w:type="dxa"/>
            <w:gridSpan w:val="2"/>
            <w:tcBorders>
              <w:bottom w:val="single" w:sz="4" w:space="0" w:color="auto"/>
            </w:tcBorders>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TIPOLOGÍA CONTENIDO</w:t>
            </w:r>
          </w:p>
        </w:tc>
      </w:tr>
      <w:tr w:rsidR="00D52EA2" w:rsidRPr="00F21E9C" w:rsidTr="00D52EA2">
        <w:trPr>
          <w:jc w:val="center"/>
        </w:trPr>
        <w:tc>
          <w:tcPr>
            <w:tcW w:w="3328" w:type="dxa"/>
            <w:tcBorders>
              <w:bottom w:val="dashSmallGap" w:sz="4" w:space="0" w:color="auto"/>
            </w:tcBorders>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Publicaciones</w:t>
            </w:r>
            <w:r w:rsidRPr="00F21E9C">
              <w:rPr>
                <w:rFonts w:ascii="Tahoma" w:eastAsia="Times" w:hAnsi="Tahoma" w:cs="Tahoma"/>
                <w:i/>
                <w:iCs/>
                <w:sz w:val="20"/>
                <w:szCs w:val="20"/>
              </w:rPr>
              <w:t xml:space="preserve"> </w:t>
            </w:r>
            <w:r w:rsidRPr="00F21E9C">
              <w:rPr>
                <w:rFonts w:ascii="Tahoma" w:eastAsia="Times" w:hAnsi="Tahoma" w:cs="Tahoma"/>
                <w:sz w:val="20"/>
                <w:szCs w:val="20"/>
              </w:rPr>
              <w:t xml:space="preserve">sobre series </w:t>
            </w:r>
          </w:p>
        </w:tc>
        <w:tc>
          <w:tcPr>
            <w:tcW w:w="5728" w:type="dxa"/>
            <w:tcBorders>
              <w:bottom w:val="dashSmallGap" w:sz="4" w:space="0" w:color="auto"/>
            </w:tcBorders>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Número total de publicaciones con contenidos relativos a series de televisión (tanto originales o propias de la compañía, como ajenas).</w:t>
            </w:r>
          </w:p>
        </w:tc>
      </w:tr>
      <w:tr w:rsidR="00D52EA2" w:rsidRPr="00F21E9C" w:rsidTr="00D52EA2">
        <w:trPr>
          <w:jc w:val="center"/>
        </w:trPr>
        <w:tc>
          <w:tcPr>
            <w:tcW w:w="3328" w:type="dxa"/>
            <w:tcBorders>
              <w:top w:val="dashSmallGap" w:sz="4" w:space="0" w:color="auto"/>
              <w:bottom w:val="dashSmallGap" w:sz="4" w:space="0" w:color="auto"/>
            </w:tcBorders>
            <w:shd w:val="clear" w:color="auto" w:fill="auto"/>
          </w:tcPr>
          <w:p w:rsidR="00D52EA2" w:rsidRPr="00F21E9C" w:rsidRDefault="00D52EA2" w:rsidP="003902F3">
            <w:pPr>
              <w:spacing w:after="0"/>
              <w:jc w:val="left"/>
              <w:rPr>
                <w:rFonts w:ascii="Tahoma" w:eastAsia="Times" w:hAnsi="Tahoma" w:cs="Tahoma"/>
                <w:i/>
                <w:iCs/>
                <w:sz w:val="20"/>
                <w:szCs w:val="20"/>
              </w:rPr>
            </w:pPr>
            <w:r w:rsidRPr="00F21E9C">
              <w:rPr>
                <w:rFonts w:ascii="Tahoma" w:eastAsia="Times" w:hAnsi="Tahoma" w:cs="Tahoma"/>
                <w:i/>
                <w:iCs/>
                <w:sz w:val="20"/>
                <w:szCs w:val="20"/>
              </w:rPr>
              <w:t xml:space="preserve">… </w:t>
            </w:r>
            <w:r w:rsidRPr="00F21E9C">
              <w:rPr>
                <w:rFonts w:ascii="Tahoma" w:eastAsia="Times" w:hAnsi="Tahoma" w:cs="Tahoma"/>
                <w:sz w:val="20"/>
                <w:szCs w:val="20"/>
              </w:rPr>
              <w:t>sobre series originales</w:t>
            </w:r>
          </w:p>
        </w:tc>
        <w:tc>
          <w:tcPr>
            <w:tcW w:w="5728" w:type="dxa"/>
            <w:tcBorders>
              <w:top w:val="dashSmallGap" w:sz="4" w:space="0" w:color="auto"/>
              <w:bottom w:val="dashSmallGap" w:sz="4" w:space="0" w:color="auto"/>
            </w:tcBorders>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Número total de publicaciones con contenidos relativos a series de televisión originales, o propias, de la compañía.</w:t>
            </w:r>
          </w:p>
        </w:tc>
      </w:tr>
      <w:tr w:rsidR="00D52EA2" w:rsidRPr="00F21E9C" w:rsidTr="00D52EA2">
        <w:trPr>
          <w:jc w:val="center"/>
        </w:trPr>
        <w:tc>
          <w:tcPr>
            <w:tcW w:w="3328" w:type="dxa"/>
            <w:tcBorders>
              <w:top w:val="dashSmallGap" w:sz="4" w:space="0" w:color="auto"/>
            </w:tcBorders>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i/>
                <w:iCs/>
                <w:sz w:val="20"/>
                <w:szCs w:val="20"/>
              </w:rPr>
              <w:t xml:space="preserve">… </w:t>
            </w:r>
            <w:r w:rsidRPr="00F21E9C">
              <w:rPr>
                <w:rFonts w:ascii="Tahoma" w:eastAsia="Times" w:hAnsi="Tahoma" w:cs="Tahoma"/>
                <w:sz w:val="20"/>
                <w:szCs w:val="20"/>
              </w:rPr>
              <w:t>sobre series no originales</w:t>
            </w:r>
          </w:p>
        </w:tc>
        <w:tc>
          <w:tcPr>
            <w:tcW w:w="5728" w:type="dxa"/>
            <w:tcBorders>
              <w:top w:val="dashSmallGap" w:sz="4" w:space="0" w:color="auto"/>
            </w:tcBorders>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Número total de publicaciones con contenidos relativos a series de producción ajena a la compañía.</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Publicaciones sobre otros (no series)</w:t>
            </w:r>
          </w:p>
        </w:tc>
        <w:tc>
          <w:tcPr>
            <w:tcW w:w="57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Número total de publicaciones con contenidos relativos a cualquier temática ajena a las series de televisión.</w:t>
            </w:r>
          </w:p>
        </w:tc>
      </w:tr>
      <w:tr w:rsidR="00D52EA2" w:rsidRPr="00F21E9C" w:rsidTr="00D52EA2">
        <w:trPr>
          <w:jc w:val="center"/>
        </w:trPr>
        <w:tc>
          <w:tcPr>
            <w:tcW w:w="9056" w:type="dxa"/>
            <w:gridSpan w:val="2"/>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TIPOLOGÍA FINALIDAD</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Comercial</w:t>
            </w:r>
          </w:p>
        </w:tc>
        <w:tc>
          <w:tcPr>
            <w:tcW w:w="57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 xml:space="preserve">Número total de publicaciones con finalidad comercial (promoción, autopromoción, etc.) </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Participativa</w:t>
            </w:r>
          </w:p>
        </w:tc>
        <w:tc>
          <w:tcPr>
            <w:tcW w:w="57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 xml:space="preserve">Número total de publicaciones con finalidad participativa (encuestas, preguntas, etc.) </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Otros</w:t>
            </w:r>
          </w:p>
        </w:tc>
        <w:tc>
          <w:tcPr>
            <w:tcW w:w="57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Número total del resto de publicaciones.</w:t>
            </w:r>
          </w:p>
        </w:tc>
      </w:tr>
      <w:tr w:rsidR="00D52EA2" w:rsidRPr="00F21E9C" w:rsidTr="00D52EA2">
        <w:trPr>
          <w:jc w:val="center"/>
        </w:trPr>
        <w:tc>
          <w:tcPr>
            <w:tcW w:w="9056" w:type="dxa"/>
            <w:gridSpan w:val="2"/>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INTERACCIÓN</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“me gusta”</w:t>
            </w:r>
          </w:p>
        </w:tc>
        <w:tc>
          <w:tcPr>
            <w:tcW w:w="5728"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Número total de “me gusta” por publicación.</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i/>
                <w:iCs/>
                <w:sz w:val="20"/>
                <w:szCs w:val="20"/>
              </w:rPr>
            </w:pPr>
            <w:r w:rsidRPr="00F21E9C">
              <w:rPr>
                <w:rFonts w:ascii="Tahoma" w:eastAsia="Times" w:hAnsi="Tahoma" w:cs="Tahoma"/>
                <w:i/>
                <w:iCs/>
                <w:sz w:val="20"/>
                <w:szCs w:val="20"/>
              </w:rPr>
              <w:t>“</w:t>
            </w:r>
            <w:proofErr w:type="spellStart"/>
            <w:r w:rsidRPr="00F21E9C">
              <w:rPr>
                <w:rFonts w:ascii="Tahoma" w:eastAsia="Times" w:hAnsi="Tahoma" w:cs="Tahoma"/>
                <w:i/>
                <w:iCs/>
                <w:sz w:val="20"/>
                <w:szCs w:val="20"/>
              </w:rPr>
              <w:t>Retweet</w:t>
            </w:r>
            <w:proofErr w:type="spellEnd"/>
            <w:r w:rsidRPr="00F21E9C">
              <w:rPr>
                <w:rFonts w:ascii="Tahoma" w:eastAsia="Times" w:hAnsi="Tahoma" w:cs="Tahoma"/>
                <w:i/>
                <w:iCs/>
                <w:sz w:val="20"/>
                <w:szCs w:val="20"/>
              </w:rPr>
              <w:t xml:space="preserve">” </w:t>
            </w:r>
            <w:r w:rsidRPr="00F21E9C">
              <w:rPr>
                <w:rFonts w:ascii="Tahoma" w:eastAsia="Times" w:hAnsi="Tahoma" w:cs="Tahoma"/>
                <w:sz w:val="20"/>
                <w:szCs w:val="20"/>
              </w:rPr>
              <w:t>o “compartir”*</w:t>
            </w:r>
          </w:p>
        </w:tc>
        <w:tc>
          <w:tcPr>
            <w:tcW w:w="5728"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Número total de veces que ha sido compartida la publicación.</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sz w:val="20"/>
                <w:szCs w:val="20"/>
              </w:rPr>
            </w:pPr>
            <w:r w:rsidRPr="00F21E9C">
              <w:rPr>
                <w:rFonts w:ascii="Tahoma" w:eastAsia="Times" w:hAnsi="Tahoma" w:cs="Tahoma"/>
                <w:sz w:val="20"/>
                <w:szCs w:val="20"/>
              </w:rPr>
              <w:t>“comentar”</w:t>
            </w:r>
          </w:p>
        </w:tc>
        <w:tc>
          <w:tcPr>
            <w:tcW w:w="5728"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Número total de comentarios que ha generado la publicación.</w:t>
            </w:r>
          </w:p>
        </w:tc>
      </w:tr>
      <w:tr w:rsidR="00D52EA2" w:rsidRPr="00F21E9C" w:rsidTr="00D52EA2">
        <w:trPr>
          <w:jc w:val="center"/>
        </w:trPr>
        <w:tc>
          <w:tcPr>
            <w:tcW w:w="3328" w:type="dxa"/>
            <w:shd w:val="clear" w:color="auto" w:fill="auto"/>
          </w:tcPr>
          <w:p w:rsidR="00D52EA2" w:rsidRPr="00F21E9C" w:rsidRDefault="00D52EA2" w:rsidP="003902F3">
            <w:pPr>
              <w:spacing w:after="0"/>
              <w:jc w:val="left"/>
              <w:rPr>
                <w:rFonts w:ascii="Tahoma" w:eastAsia="Times" w:hAnsi="Tahoma" w:cs="Tahoma"/>
                <w:i/>
                <w:iCs/>
                <w:sz w:val="20"/>
                <w:szCs w:val="20"/>
              </w:rPr>
            </w:pPr>
            <w:proofErr w:type="spellStart"/>
            <w:r w:rsidRPr="00F21E9C">
              <w:rPr>
                <w:rFonts w:ascii="Tahoma" w:eastAsia="Times" w:hAnsi="Tahoma" w:cs="Tahoma"/>
                <w:i/>
                <w:iCs/>
                <w:sz w:val="20"/>
                <w:szCs w:val="20"/>
              </w:rPr>
              <w:t>Engagement</w:t>
            </w:r>
            <w:proofErr w:type="spellEnd"/>
            <w:r w:rsidRPr="00F21E9C">
              <w:rPr>
                <w:rFonts w:ascii="Tahoma" w:eastAsia="Times" w:hAnsi="Tahoma" w:cs="Tahoma"/>
                <w:i/>
                <w:iCs/>
                <w:sz w:val="20"/>
                <w:szCs w:val="20"/>
              </w:rPr>
              <w:t xml:space="preserve"> online</w:t>
            </w:r>
          </w:p>
        </w:tc>
        <w:tc>
          <w:tcPr>
            <w:tcW w:w="5728" w:type="dxa"/>
            <w:shd w:val="clear" w:color="auto" w:fill="auto"/>
          </w:tcPr>
          <w:p w:rsidR="00D52EA2" w:rsidRPr="00F21E9C" w:rsidRDefault="00467539" w:rsidP="00740778">
            <w:pPr>
              <w:spacing w:after="0"/>
              <w:jc w:val="both"/>
              <w:rPr>
                <w:rFonts w:ascii="Tahoma" w:eastAsia="Times" w:hAnsi="Tahoma" w:cs="Tahoma"/>
                <w:sz w:val="20"/>
                <w:szCs w:val="20"/>
                <w:u w:val="single"/>
              </w:rPr>
            </w:pPr>
            <w:r>
              <w:rPr>
                <w:rFonts w:ascii="Tahoma" w:eastAsia="Times New Roman" w:hAnsi="Tahoma" w:cs="Tahoma"/>
                <w:noProof/>
                <w:sz w:val="20"/>
                <w:szCs w:val="20"/>
                <w:lang w:eastAsia="es-ES_tradnl"/>
              </w:rPr>
              <w:pict w14:anchorId="20CB4163">
                <v:shapetype id="_x0000_t202" coordsize="21600,21600" o:spt="202" path="m,l,21600r21600,l21600,xe">
                  <v:stroke joinstyle="miter"/>
                  <v:path gradientshapeok="t" o:connecttype="rect"/>
                </v:shapetype>
                <v:shape id="Cuadro de texto 5" o:spid="_x0000_s1030" type="#_x0000_t202" style="position:absolute;left:0;text-align:left;margin-left:180.4pt;margin-top:1pt;width:49.45pt;height:18.4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" filled="f" stroked="f">
                  <v:textbox style="mso-next-textbox:#Cuadro de texto 5">
                    <w:txbxContent>
                      <w:p w:rsidR="00467539" w:rsidRPr="002F346B" w:rsidRDefault="00467539" w:rsidP="00D52EA2">
                        <w:pPr>
                          <w:rPr>
                            <w:rFonts w:ascii="Tahoma" w:hAnsi="Tahoma" w:cs="Tahoma"/>
                            <w:sz w:val="20"/>
                            <w:szCs w:val="20"/>
                          </w:rPr>
                        </w:pPr>
                        <w:proofErr w:type="gramStart"/>
                        <w:r w:rsidRPr="002F346B">
                          <w:rPr>
                            <w:rFonts w:ascii="Tahoma" w:hAnsi="Tahoma" w:cs="Tahoma"/>
                            <w:sz w:val="20"/>
                            <w:szCs w:val="20"/>
                          </w:rPr>
                          <w:t>x</w:t>
                        </w:r>
                        <w:proofErr w:type="gramEnd"/>
                        <w:r w:rsidRPr="002F346B">
                          <w:rPr>
                            <w:rFonts w:ascii="Tahoma" w:hAnsi="Tahoma" w:cs="Tahoma"/>
                            <w:sz w:val="20"/>
                            <w:szCs w:val="20"/>
                          </w:rPr>
                          <w:t xml:space="preserve"> 100</w:t>
                        </w:r>
                      </w:p>
                    </w:txbxContent>
                  </v:textbox>
                </v:shape>
              </w:pict>
            </w:r>
            <w:r w:rsidR="00D52EA2" w:rsidRPr="00F21E9C">
              <w:rPr>
                <w:rFonts w:ascii="Tahoma" w:eastAsia="Times" w:hAnsi="Tahoma" w:cs="Tahoma"/>
                <w:sz w:val="20"/>
                <w:szCs w:val="20"/>
                <w:u w:val="single"/>
              </w:rPr>
              <w:t>“me gusta” + “</w:t>
            </w:r>
            <w:proofErr w:type="spellStart"/>
            <w:r w:rsidR="00D52EA2" w:rsidRPr="00F21E9C">
              <w:rPr>
                <w:rFonts w:ascii="Tahoma" w:eastAsia="Times" w:hAnsi="Tahoma" w:cs="Tahoma"/>
                <w:i/>
                <w:iCs/>
                <w:sz w:val="20"/>
                <w:szCs w:val="20"/>
                <w:u w:val="single"/>
              </w:rPr>
              <w:t>retweets</w:t>
            </w:r>
            <w:proofErr w:type="spellEnd"/>
            <w:r w:rsidR="00D52EA2" w:rsidRPr="00F21E9C">
              <w:rPr>
                <w:rFonts w:ascii="Tahoma" w:eastAsia="Times" w:hAnsi="Tahoma" w:cs="Tahoma"/>
                <w:i/>
                <w:iCs/>
                <w:sz w:val="20"/>
                <w:szCs w:val="20"/>
                <w:u w:val="single"/>
              </w:rPr>
              <w:t xml:space="preserve">”* </w:t>
            </w:r>
            <w:r w:rsidR="00D52EA2" w:rsidRPr="00F21E9C">
              <w:rPr>
                <w:rFonts w:ascii="Tahoma" w:eastAsia="Times" w:hAnsi="Tahoma" w:cs="Tahoma"/>
                <w:sz w:val="20"/>
                <w:szCs w:val="20"/>
                <w:u w:val="single"/>
              </w:rPr>
              <w:t xml:space="preserve">+ “comentar” </w:t>
            </w:r>
          </w:p>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 xml:space="preserve">                Nº de publicaciones</w:t>
            </w:r>
          </w:p>
        </w:tc>
      </w:tr>
    </w:tbl>
    <w:p w:rsidR="005D3F1F" w:rsidRDefault="005D3F1F" w:rsidP="00740778">
      <w:pPr>
        <w:spacing w:after="0"/>
        <w:rPr>
          <w:rFonts w:ascii="Tahoma" w:eastAsia="Times" w:hAnsi="Tahoma" w:cs="Tahoma"/>
          <w:b/>
          <w:bCs/>
          <w:sz w:val="24"/>
          <w:szCs w:val="24"/>
        </w:rPr>
      </w:pPr>
    </w:p>
    <w:p w:rsidR="00D52EA2" w:rsidRPr="00F21E9C" w:rsidRDefault="00D52EA2" w:rsidP="00740778">
      <w:pPr>
        <w:spacing w:after="0"/>
        <w:rPr>
          <w:rFonts w:ascii="Tahoma" w:eastAsia="Times" w:hAnsi="Tahoma" w:cs="Tahoma"/>
          <w:sz w:val="24"/>
          <w:szCs w:val="24"/>
        </w:rPr>
      </w:pPr>
      <w:r w:rsidRPr="00F21E9C">
        <w:rPr>
          <w:rFonts w:ascii="Tahoma" w:eastAsia="Times" w:hAnsi="Tahoma" w:cs="Tahoma"/>
          <w:b/>
          <w:bCs/>
          <w:sz w:val="24"/>
          <w:szCs w:val="24"/>
        </w:rPr>
        <w:t>Fuente:</w:t>
      </w:r>
      <w:r w:rsidRPr="00F21E9C">
        <w:rPr>
          <w:rFonts w:ascii="Tahoma" w:eastAsia="Times" w:hAnsi="Tahoma" w:cs="Tahoma"/>
          <w:sz w:val="24"/>
          <w:szCs w:val="24"/>
        </w:rPr>
        <w:t xml:space="preserve"> Elaboración propia.</w:t>
      </w:r>
    </w:p>
    <w:p w:rsidR="003902F3" w:rsidRDefault="003902F3" w:rsidP="00740778">
      <w:pPr>
        <w:spacing w:after="0"/>
        <w:jc w:val="both"/>
        <w:rPr>
          <w:rFonts w:ascii="Tahoma" w:eastAsia="Times" w:hAnsi="Tahoma" w:cs="Tahoma"/>
          <w:sz w:val="20"/>
          <w:szCs w:val="20"/>
        </w:rPr>
      </w:pPr>
    </w:p>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 xml:space="preserve">Nota: Instagram no proporciona información relativa al número de veces que ha sido compartida la publicación por lo que este dato no se considera individualmente ni para el cálculo del </w:t>
      </w:r>
      <w:proofErr w:type="spellStart"/>
      <w:r w:rsidRPr="00F21E9C">
        <w:rPr>
          <w:rFonts w:ascii="Tahoma" w:eastAsia="Times" w:hAnsi="Tahoma" w:cs="Tahoma"/>
          <w:i/>
          <w:iCs/>
          <w:sz w:val="20"/>
          <w:szCs w:val="20"/>
        </w:rPr>
        <w:t>engagement</w:t>
      </w:r>
      <w:proofErr w:type="spellEnd"/>
      <w:r w:rsidRPr="00F21E9C">
        <w:rPr>
          <w:rFonts w:ascii="Tahoma" w:eastAsia="Times" w:hAnsi="Tahoma" w:cs="Tahoma"/>
          <w:i/>
          <w:iCs/>
          <w:sz w:val="20"/>
          <w:szCs w:val="20"/>
        </w:rPr>
        <w:t xml:space="preserve"> online </w:t>
      </w:r>
      <w:r w:rsidRPr="00F21E9C">
        <w:rPr>
          <w:rFonts w:ascii="Tahoma" w:eastAsia="Times" w:hAnsi="Tahoma" w:cs="Tahoma"/>
          <w:sz w:val="20"/>
          <w:szCs w:val="20"/>
        </w:rPr>
        <w:t xml:space="preserve">tal y como ya hicieron </w:t>
      </w:r>
      <w:proofErr w:type="spellStart"/>
      <w:r w:rsidRPr="00F21E9C">
        <w:rPr>
          <w:rFonts w:ascii="Tahoma" w:eastAsia="Times" w:hAnsi="Tahoma" w:cs="Tahoma"/>
          <w:sz w:val="20"/>
          <w:szCs w:val="20"/>
        </w:rPr>
        <w:t>Atarama</w:t>
      </w:r>
      <w:proofErr w:type="spellEnd"/>
      <w:r w:rsidRPr="00F21E9C">
        <w:rPr>
          <w:rFonts w:ascii="Tahoma" w:eastAsia="Times" w:hAnsi="Tahoma" w:cs="Tahoma"/>
          <w:sz w:val="20"/>
          <w:szCs w:val="20"/>
        </w:rPr>
        <w:t xml:space="preserve">-Rojas y Requena Zapata </w:t>
      </w:r>
      <w:r w:rsidRPr="00F21E9C">
        <w:rPr>
          <w:rFonts w:ascii="Tahoma" w:eastAsia="Times" w:hAnsi="Tahoma" w:cs="Tahoma"/>
          <w:sz w:val="20"/>
          <w:szCs w:val="20"/>
        </w:rPr>
        <w:fldChar w:fldCharType="begin" w:fldLock="1"/>
      </w:r>
      <w:r w:rsidRPr="00F21E9C">
        <w:rPr>
          <w:rFonts w:ascii="Tahoma" w:eastAsia="Times" w:hAnsi="Tahoma" w:cs="Tahoma"/>
          <w:sz w:val="20"/>
          <w:szCs w:val="20"/>
        </w:rPr>
        <w:instrText>ADDIN CSL_CITATION {"citationItems":[{"id":"ITEM-1","itemData":{"DOI":"https://doi.org/10.14201/fjc201817193213","author":[{"dropping-particle":"","family":"Atarama-Rojas","given":"Tomás","non-dropping-particle":"","parse-names":false,"suffix":""},{"dropping-particle":"","family":"Requena Zapata","given":"Selene","non-dropping-particle":"","parse-names":false,"suffix":""}],"container-title":"Fonseca, Journal of Communication","id":"ITEM-1","issue":"17","issued":{"date-parts":[["2018"]]},"page":"193-213","title":"Narrativa Transmedia: Análisis de la participación de la audiencia en la serie 13 reasons why para la aproximación al tema del suicidio","type":"article-journal"},"suppress-author":1,"uris":["http://www.mendeley.com/documents/?uuid=0115c759-f843-44f4-bb6b-80a3328d7359"]}],"mendeley":{"formattedCitation":"(2018)","plainTextFormattedCitation":"(2018)","previouslyFormattedCitation":"(2018)"},"properties":{"noteIndex":0},"schema":"https://github.com/citation-style-language/schema/raw/master/csl-citation.json"}</w:instrText>
      </w:r>
      <w:r w:rsidRPr="00F21E9C">
        <w:rPr>
          <w:rFonts w:ascii="Tahoma" w:eastAsia="Times" w:hAnsi="Tahoma" w:cs="Tahoma"/>
          <w:sz w:val="20"/>
          <w:szCs w:val="20"/>
        </w:rPr>
        <w:fldChar w:fldCharType="separate"/>
      </w:r>
      <w:r w:rsidRPr="00F21E9C">
        <w:rPr>
          <w:rFonts w:ascii="Tahoma" w:eastAsia="Times" w:hAnsi="Tahoma" w:cs="Tahoma"/>
          <w:noProof/>
          <w:sz w:val="20"/>
          <w:szCs w:val="20"/>
        </w:rPr>
        <w:t>(2018)</w:t>
      </w:r>
      <w:r w:rsidRPr="00F21E9C">
        <w:rPr>
          <w:rFonts w:ascii="Tahoma" w:eastAsia="Times" w:hAnsi="Tahoma" w:cs="Tahoma"/>
          <w:sz w:val="20"/>
          <w:szCs w:val="20"/>
        </w:rPr>
        <w:fldChar w:fldCharType="end"/>
      </w:r>
      <w:r w:rsidRPr="00F21E9C">
        <w:rPr>
          <w:rFonts w:ascii="Tahoma" w:eastAsia="Times" w:hAnsi="Tahoma" w:cs="Tahoma"/>
          <w:i/>
          <w:iCs/>
          <w:sz w:val="20"/>
          <w:szCs w:val="20"/>
        </w:rPr>
        <w:t>.</w:t>
      </w:r>
      <w:r w:rsidRPr="00F21E9C">
        <w:rPr>
          <w:rFonts w:ascii="Tahoma" w:eastAsia="Times" w:hAnsi="Tahoma" w:cs="Tahoma"/>
          <w:sz w:val="20"/>
          <w:szCs w:val="20"/>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El periodo analizado comprende 1 año (19 marzo 2018 – 19 marzo 2019). Durante este,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publicó 1.</w:t>
      </w:r>
      <w:r>
        <w:rPr>
          <w:rFonts w:ascii="Tahoma" w:eastAsia="Times" w:hAnsi="Tahoma" w:cs="Tahoma"/>
          <w:sz w:val="24"/>
          <w:szCs w:val="24"/>
        </w:rPr>
        <w:t>087</w:t>
      </w:r>
      <w:r w:rsidRPr="00F21E9C">
        <w:rPr>
          <w:rFonts w:ascii="Tahoma" w:eastAsia="Times" w:hAnsi="Tahoma" w:cs="Tahoma"/>
          <w:sz w:val="24"/>
          <w:szCs w:val="24"/>
        </w:rPr>
        <w:t xml:space="preserve"> </w:t>
      </w:r>
      <w:r w:rsidRPr="00F21E9C">
        <w:rPr>
          <w:rFonts w:ascii="Tahoma" w:eastAsia="Times" w:hAnsi="Tahoma" w:cs="Tahoma"/>
          <w:i/>
          <w:iCs/>
          <w:sz w:val="24"/>
          <w:szCs w:val="24"/>
        </w:rPr>
        <w:t>tweets.</w:t>
      </w:r>
      <w:r w:rsidRPr="00F21E9C">
        <w:rPr>
          <w:rFonts w:ascii="Tahoma" w:eastAsia="Times" w:hAnsi="Tahoma" w:cs="Tahoma"/>
          <w:sz w:val="24"/>
          <w:szCs w:val="24"/>
        </w:rPr>
        <w:t xml:space="preserve"> Su análisis, así como el de la interacción generada se realiza aplicando el algoritmo Twitter </w:t>
      </w:r>
      <w:proofErr w:type="spellStart"/>
      <w:r w:rsidRPr="00F21E9C">
        <w:rPr>
          <w:rFonts w:ascii="Tahoma" w:eastAsia="Times" w:hAnsi="Tahoma" w:cs="Tahoma"/>
          <w:sz w:val="24"/>
          <w:szCs w:val="24"/>
        </w:rPr>
        <w:t>Decahose</w:t>
      </w:r>
      <w:proofErr w:type="spellEnd"/>
      <w:r w:rsidRPr="00F21E9C">
        <w:rPr>
          <w:rFonts w:ascii="Tahoma" w:eastAsia="Times" w:hAnsi="Tahoma" w:cs="Tahoma"/>
          <w:sz w:val="24"/>
          <w:szCs w:val="24"/>
        </w:rPr>
        <w:t xml:space="preserve"> y eligiendo, por consiguiente, una muestra del 10% del total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{"citationItems":[{"id":"ITEM-1","itemData":{"ISSN":"19328036","abstract":"Social media-supported protests build circuits of collective interaction that grow across physical, material, digital, and virtual spaces. Extending the research on the governance of communicative spaces, we ask whether representations of place define the public space and whether their analysis suffices to grasp the powerful processes embedded within that space. Consequently, we analyze the available representations of place in the Twitter communication about the protests against the Akademikerball, which is a ball organized by the right-wing populist party, the Austrian Freedom Party (FPÖ), in Vienna, Austria. The analysis shows multiple forms of representation, but further consideration of its limitations takes into account three other key features of the public space. Together with an examination of representations, the analysis of textures, structures, and connections inform four modes of analysis that ought to be explored simultaneously to comprehensively understand the governance of the communicative space that is occupied in social media-supported protests.","author":[{"dropping-particle":"","family":"Brantner","given":"Cornelia","non-dropping-particle":"","parse-names":false,"suffix":""},{"dropping-particle":"","family":"Rodriguez-Amat","given":"Joan Ramon","non-dropping-particle":"","parse-names":false,"suffix":""}],"container-title":"International Journal of Communication","id":"ITEM-1","issue":"1","issued":{"date-parts":[["2016"]]},"page":"299-320","title":"New \"danger zone\" in europe: Representations of place in social media-supported protests","type":"article-journal","volume":"10"},"uris":["http://www.mendeley.com/documents/?uuid=b99ba6d7-ebec-4651-ad43-4adbd6d1ef75"]},{"id":"ITEM-2","itemData":{"DOI":"10.3145/epi.2018.nov.12","ISBN":"0000000310","ISSN":"1386-6710","abstract":"Resumen: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Información","id":"ITEM-2","issue":"6","issued":{"date-parts":[["2018"]]},"page":"1292","title":"La estrategia de engagement de Netflix España en Twitter","type":"article-journal","volume":"27"},"uris":["http://www.mendeley.com/documents/?uuid=8dcc95d0-fef3-455b-ba0c-5a9c17ea0c53"]},{"id":"ITEM-3","itemData":{"author":[{"dropping-particle":"","family":"Martínez-Sala","given":"Alba-María","non-dropping-particle":"","parse-names":false,"suffix":""},{"dropping-particle":"","family":"Prado-Jiménez","given":"Carlos-Eduardo","non-dropping-particle":"","parse-names":false,"suffix":""}],"container-title":"Las nuevas narrativas en el entorno social","editor":[{"dropping-particle":"","family":"Rodríguez Breijo","given":"Vanessa","non-dropping-particle":"","parse-names":false,"suffix":""},{"dropping-particle":"","family":"Trenta","given":"Milena","non-dropping-particle":"","parse-names":false,"suffix":""},{"dropping-particle":"","family":"Toledano Buendía","given":"Samuel","non-dropping-particle":"","parse-names":false,"suffix":""},{"dropping-particle":"","family":"Hernández","given":"Ciro","non-dropping-particle":"","parse-names":false,"suffix":""},{"dropping-particle":"","family":"Ardèvol Abreu","given":"Alberto","non-dropping-particle":"","parse-names":false,"suffix":""},{"dropping-particle":"","family":"Álvarez Nobell","given":"Alejandro","non-dropping-particle":"","parse-names":false,"suffix":""},{"dropping-particle":"","family":"Morales","given":"Lucas","non-dropping-particle":"","parse-names":false,"suffix":""},{"dropping-particle":"","family":"Hidalgo-Marí","given":"Tatiana","non-dropping-particle":"","parse-names":false,"suffix":""},{"dropping-particle":"","family":"Barrientos-Báez","given":"Almudena","non-dropping-particle":"","parse-names":false,"suffix":""}],"id":"ITEM-3","issued":{"date-parts":[["2019"]]},"page":"111-112","publisher":"Sociedad Latina de Comunicación Social","publisher-place":"La Laguna","title":"El papel del fandom televisivo en la estrategia de comunicación digital de Netflix. Análisis de la interacción y engagement online en Twitter","type":"paper-conference"},"uris":["http://www.mendeley.com/documents/?uuid=829fba55-4a56-48af-89e0-bc170ab60e4a"]}],"mendeley":{"formattedCitation":"(Brantner &amp; Rodriguez-Amat, 2016; Fernández-Gómez &amp; Martín-Quevedo, 2018b; Martínez-Sala &amp; Prado-Jiménez, 2019)","plainTextFormattedCitation":"(Brantner &amp; Rodriguez-Amat, 2016; Fernández-Gómez &amp; Martín-Quevedo, 2018b; Martínez-Sala &amp; Prado-Jiménez, 2019)","previouslyFormattedCitation":"(Brantner &amp; Rodriguez-Amat, 2016; Fernández-Gómez &amp; Martín-Quevedo, 2018b; Martínez-Sala &amp; Prado-Jiménez, 2019)"},"properties":{"noteIndex":0},"schema":"https://github.com/citation-style-language/schema/raw/master/csl-citation.json"}</w:instrText>
      </w:r>
      <w:r w:rsidRPr="00F21E9C">
        <w:rPr>
          <w:rFonts w:ascii="Tahoma" w:eastAsia="Times" w:hAnsi="Tahoma" w:cs="Tahoma"/>
          <w:sz w:val="24"/>
          <w:szCs w:val="24"/>
        </w:rPr>
        <w:fldChar w:fldCharType="separate"/>
      </w:r>
      <w:r w:rsidRPr="004B212F">
        <w:rPr>
          <w:rFonts w:ascii="Tahoma" w:eastAsia="Times" w:hAnsi="Tahoma" w:cs="Tahoma"/>
          <w:noProof/>
          <w:sz w:val="24"/>
          <w:szCs w:val="24"/>
        </w:rPr>
        <w:t>(Brantner &amp; Rodriguez-Amat, 2016; Fernández-Gómez &amp; Martín-Quevedo, 2018b; Martínez-Sala &amp; Prado-Jiménez, 2019)</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En el caso de Instagram se analiza la misma cantidad de publicaciones para garantizar la objetividad de la comparativa. </w:t>
      </w:r>
    </w:p>
    <w:p w:rsidR="00D52EA2" w:rsidRPr="00F21E9C" w:rsidRDefault="00D52EA2" w:rsidP="00740778">
      <w:pPr>
        <w:tabs>
          <w:tab w:val="left" w:pos="600"/>
        </w:tabs>
        <w:autoSpaceDE w:val="0"/>
        <w:autoSpaceDN w:val="0"/>
        <w:adjustRightInd w:val="0"/>
        <w:spacing w:after="0"/>
        <w:jc w:val="both"/>
        <w:rPr>
          <w:rFonts w:ascii="Tahoma" w:hAnsi="Tahoma" w:cs="Tahoma"/>
          <w:b/>
          <w:sz w:val="24"/>
          <w:szCs w:val="24"/>
        </w:rPr>
      </w:pPr>
    </w:p>
    <w:p w:rsidR="00D52EA2" w:rsidRPr="00F21E9C" w:rsidRDefault="00D52EA2" w:rsidP="00740778">
      <w:pPr>
        <w:tabs>
          <w:tab w:val="left" w:pos="600"/>
        </w:tabs>
        <w:autoSpaceDE w:val="0"/>
        <w:autoSpaceDN w:val="0"/>
        <w:adjustRightInd w:val="0"/>
        <w:spacing w:after="0"/>
        <w:jc w:val="both"/>
        <w:rPr>
          <w:rFonts w:ascii="Tahoma" w:hAnsi="Tahoma" w:cs="Tahoma"/>
          <w:b/>
          <w:bCs/>
          <w:color w:val="00B050"/>
          <w:sz w:val="24"/>
          <w:szCs w:val="24"/>
        </w:rPr>
      </w:pPr>
      <w:r w:rsidRPr="00F21E9C">
        <w:rPr>
          <w:rFonts w:ascii="Tahoma" w:hAnsi="Tahoma" w:cs="Tahoma"/>
          <w:b/>
          <w:sz w:val="24"/>
          <w:szCs w:val="24"/>
        </w:rPr>
        <w:t xml:space="preserve">4. DISCUSIÓN </w:t>
      </w:r>
    </w:p>
    <w:p w:rsidR="00D52EA2" w:rsidRPr="00F21E9C" w:rsidRDefault="00D52EA2" w:rsidP="00740778">
      <w:pPr>
        <w:tabs>
          <w:tab w:val="left" w:pos="600"/>
        </w:tabs>
        <w:autoSpaceDE w:val="0"/>
        <w:autoSpaceDN w:val="0"/>
        <w:adjustRightInd w:val="0"/>
        <w:spacing w:after="0"/>
        <w:jc w:val="both"/>
        <w:rPr>
          <w:rFonts w:ascii="Tahoma" w:hAnsi="Tahoma" w:cs="Tahoma"/>
          <w:color w:val="000000"/>
          <w:sz w:val="24"/>
          <w:szCs w:val="24"/>
        </w:rPr>
      </w:pPr>
    </w:p>
    <w:p w:rsidR="00D52EA2" w:rsidRPr="00F21E9C" w:rsidRDefault="00D52EA2" w:rsidP="00740778">
      <w:pPr>
        <w:autoSpaceDE w:val="0"/>
        <w:autoSpaceDN w:val="0"/>
        <w:adjustRightInd w:val="0"/>
        <w:spacing w:after="0"/>
        <w:jc w:val="both"/>
        <w:rPr>
          <w:rFonts w:ascii="Tahoma" w:hAnsi="Tahoma" w:cs="Tahoma"/>
          <w:b/>
          <w:bCs/>
          <w:color w:val="00B050"/>
          <w:sz w:val="24"/>
          <w:szCs w:val="24"/>
        </w:rPr>
      </w:pPr>
      <w:r w:rsidRPr="00F21E9C">
        <w:rPr>
          <w:rFonts w:ascii="Tahoma" w:hAnsi="Tahoma" w:cs="Tahoma"/>
          <w:b/>
          <w:bCs/>
          <w:sz w:val="24"/>
          <w:szCs w:val="24"/>
        </w:rPr>
        <w:t xml:space="preserve">4.1. Presencia y tipología de las publicaciones </w:t>
      </w:r>
    </w:p>
    <w:p w:rsidR="00D52EA2" w:rsidRPr="00F21E9C" w:rsidRDefault="00D52EA2" w:rsidP="00740778">
      <w:pPr>
        <w:autoSpaceDE w:val="0"/>
        <w:autoSpaceDN w:val="0"/>
        <w:adjustRightInd w:val="0"/>
        <w:spacing w:after="0"/>
        <w:ind w:firstLine="284"/>
        <w:jc w:val="both"/>
        <w:rPr>
          <w:rFonts w:ascii="Tahoma" w:hAnsi="Tahoma" w:cs="Tahoma"/>
          <w:color w:val="00B050"/>
          <w:sz w:val="24"/>
          <w:szCs w:val="24"/>
        </w:rPr>
      </w:pPr>
    </w:p>
    <w:p w:rsidR="00D52EA2"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Con relación a la P.I.1, se analizan la presencia de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en ambas redes sociales (O1) y sus publicaciones, para clasificarlas según contenido y finalidad principal (O2) (Tabla 2).</w:t>
      </w:r>
    </w:p>
    <w:p w:rsidR="007E7893" w:rsidRPr="00F21E9C" w:rsidRDefault="007E7893" w:rsidP="00740778">
      <w:pPr>
        <w:spacing w:after="0"/>
        <w:ind w:firstLine="284"/>
        <w:jc w:val="both"/>
        <w:rPr>
          <w:rFonts w:ascii="Tahoma" w:eastAsia="Times" w:hAnsi="Tahoma" w:cs="Tahoma"/>
          <w:sz w:val="24"/>
          <w:szCs w:val="24"/>
        </w:rPr>
      </w:pPr>
    </w:p>
    <w:p w:rsidR="00D52EA2" w:rsidRPr="00F21E9C" w:rsidRDefault="00D52EA2" w:rsidP="00740778">
      <w:pPr>
        <w:spacing w:after="0"/>
        <w:rPr>
          <w:rFonts w:ascii="Tahoma" w:eastAsia="Times" w:hAnsi="Tahoma" w:cs="Tahoma"/>
          <w:b/>
          <w:bCs/>
          <w:i/>
          <w:iCs/>
          <w:sz w:val="24"/>
          <w:szCs w:val="24"/>
        </w:rPr>
      </w:pPr>
    </w:p>
    <w:p w:rsidR="00D52EA2" w:rsidRDefault="00D52EA2" w:rsidP="00740778">
      <w:pPr>
        <w:spacing w:after="0"/>
        <w:rPr>
          <w:rFonts w:ascii="Tahoma" w:eastAsia="Times" w:hAnsi="Tahoma" w:cs="Tahoma"/>
          <w:i/>
          <w:iCs/>
          <w:sz w:val="24"/>
          <w:szCs w:val="24"/>
        </w:rPr>
      </w:pPr>
      <w:r w:rsidRPr="00F21E9C">
        <w:rPr>
          <w:rFonts w:ascii="Tahoma" w:eastAsia="Times" w:hAnsi="Tahoma" w:cs="Tahoma"/>
          <w:b/>
          <w:bCs/>
          <w:i/>
          <w:iCs/>
          <w:sz w:val="24"/>
          <w:szCs w:val="24"/>
        </w:rPr>
        <w:t xml:space="preserve">Tabla 2. </w:t>
      </w:r>
      <w:r w:rsidRPr="00F21E9C">
        <w:rPr>
          <w:rFonts w:ascii="Tahoma" w:eastAsia="Times" w:hAnsi="Tahoma" w:cs="Tahoma"/>
          <w:i/>
          <w:iCs/>
          <w:sz w:val="24"/>
          <w:szCs w:val="24"/>
        </w:rPr>
        <w:t xml:space="preserve">Presencia y tipología de la comunicación de </w:t>
      </w:r>
      <w:proofErr w:type="spellStart"/>
      <w:r w:rsidRPr="00F21E9C">
        <w:rPr>
          <w:rFonts w:ascii="Tahoma" w:eastAsia="Times" w:hAnsi="Tahoma" w:cs="Tahoma"/>
          <w:i/>
          <w:iCs/>
          <w:sz w:val="24"/>
          <w:szCs w:val="24"/>
        </w:rPr>
        <w:t>Netflix</w:t>
      </w:r>
      <w:proofErr w:type="spellEnd"/>
      <w:r w:rsidRPr="00F21E9C">
        <w:rPr>
          <w:rFonts w:ascii="Tahoma" w:eastAsia="Times" w:hAnsi="Tahoma" w:cs="Tahoma"/>
          <w:i/>
          <w:iCs/>
          <w:sz w:val="24"/>
          <w:szCs w:val="24"/>
        </w:rPr>
        <w:t xml:space="preserve"> en Twitter e Instagram</w:t>
      </w:r>
    </w:p>
    <w:p w:rsidR="005D3F1F" w:rsidRPr="00F21E9C" w:rsidRDefault="005D3F1F" w:rsidP="00740778">
      <w:pPr>
        <w:spacing w:after="0"/>
        <w:rPr>
          <w:rFonts w:ascii="Tahoma" w:eastAsia="Times" w:hAnsi="Tahoma" w:cs="Tahoma"/>
          <w:i/>
          <w:iCs/>
          <w:sz w:val="24"/>
          <w:szCs w:val="24"/>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47"/>
        <w:gridCol w:w="3580"/>
      </w:tblGrid>
      <w:tr w:rsidR="00D52EA2" w:rsidRPr="00F21E9C" w:rsidTr="00D52EA2">
        <w:trPr>
          <w:jc w:val="center"/>
        </w:trPr>
        <w:tc>
          <w:tcPr>
            <w:tcW w:w="3515" w:type="dxa"/>
            <w:shd w:val="clear" w:color="auto" w:fill="auto"/>
          </w:tcPr>
          <w:p w:rsidR="00D52EA2" w:rsidRPr="00F21E9C" w:rsidRDefault="00D52EA2" w:rsidP="00740778">
            <w:pPr>
              <w:spacing w:after="0"/>
              <w:rPr>
                <w:rFonts w:ascii="Tahoma" w:eastAsia="Times" w:hAnsi="Tahoma" w:cs="Tahoma"/>
                <w:b/>
                <w:bCs/>
                <w:sz w:val="20"/>
                <w:szCs w:val="20"/>
              </w:rPr>
            </w:pPr>
            <w:r w:rsidRPr="00F21E9C">
              <w:rPr>
                <w:rFonts w:ascii="Tahoma" w:eastAsia="Times" w:hAnsi="Tahoma" w:cs="Tahoma"/>
                <w:b/>
                <w:bCs/>
                <w:sz w:val="20"/>
                <w:szCs w:val="20"/>
              </w:rPr>
              <w:t>PRESENCIA</w:t>
            </w:r>
          </w:p>
        </w:tc>
        <w:tc>
          <w:tcPr>
            <w:tcW w:w="2747" w:type="dxa"/>
            <w:shd w:val="clear" w:color="auto" w:fill="auto"/>
          </w:tcPr>
          <w:p w:rsidR="00D52EA2" w:rsidRPr="00F21E9C" w:rsidRDefault="00D52EA2" w:rsidP="00740778">
            <w:pPr>
              <w:spacing w:after="0"/>
              <w:rPr>
                <w:rFonts w:ascii="Tahoma" w:eastAsia="Times" w:hAnsi="Tahoma" w:cs="Tahoma"/>
                <w:b/>
                <w:bCs/>
                <w:sz w:val="20"/>
                <w:szCs w:val="20"/>
              </w:rPr>
            </w:pPr>
            <w:r w:rsidRPr="00F21E9C">
              <w:rPr>
                <w:rFonts w:ascii="Tahoma" w:eastAsia="Times" w:hAnsi="Tahoma" w:cs="Tahoma"/>
                <w:b/>
                <w:bCs/>
                <w:sz w:val="20"/>
                <w:szCs w:val="20"/>
              </w:rPr>
              <w:t>TWITTER</w:t>
            </w:r>
          </w:p>
        </w:tc>
        <w:tc>
          <w:tcPr>
            <w:tcW w:w="3580" w:type="dxa"/>
          </w:tcPr>
          <w:p w:rsidR="00D52EA2" w:rsidRPr="00F21E9C" w:rsidRDefault="00D52EA2" w:rsidP="00740778">
            <w:pPr>
              <w:spacing w:after="0"/>
              <w:rPr>
                <w:rFonts w:ascii="Tahoma" w:eastAsia="Times" w:hAnsi="Tahoma" w:cs="Tahoma"/>
                <w:b/>
                <w:bCs/>
                <w:sz w:val="20"/>
                <w:szCs w:val="20"/>
              </w:rPr>
            </w:pPr>
            <w:r w:rsidRPr="00F21E9C">
              <w:rPr>
                <w:rFonts w:ascii="Tahoma" w:eastAsia="Times" w:hAnsi="Tahoma" w:cs="Tahoma"/>
                <w:b/>
                <w:bCs/>
                <w:sz w:val="20"/>
                <w:szCs w:val="20"/>
              </w:rPr>
              <w:t>INSTAGRAM</w:t>
            </w: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proofErr w:type="spellStart"/>
            <w:r w:rsidRPr="00F21E9C">
              <w:rPr>
                <w:rFonts w:ascii="Tahoma" w:eastAsia="Times" w:hAnsi="Tahoma" w:cs="Tahoma"/>
                <w:sz w:val="20"/>
                <w:szCs w:val="20"/>
              </w:rPr>
              <w:t>url</w:t>
            </w:r>
            <w:proofErr w:type="spellEnd"/>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https://twitter.com/NetflixES</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https://www.instagram.com/netflixes/</w:t>
            </w: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Total publicaciones</w:t>
            </w:r>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12,3 mil</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937</w:t>
            </w: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Siguiendo</w:t>
            </w:r>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294</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165</w:t>
            </w: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Seguidores</w:t>
            </w:r>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760.000</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1,2 mil</w:t>
            </w: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“Me gusta”</w:t>
            </w:r>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3.207</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w:t>
            </w:r>
          </w:p>
        </w:tc>
      </w:tr>
      <w:tr w:rsidR="00D52EA2" w:rsidRPr="00F21E9C" w:rsidTr="006B0637">
        <w:trPr>
          <w:jc w:val="center"/>
        </w:trPr>
        <w:tc>
          <w:tcPr>
            <w:tcW w:w="6262" w:type="dxa"/>
            <w:gridSpan w:val="2"/>
            <w:shd w:val="clear" w:color="auto" w:fill="auto"/>
            <w:vAlign w:val="center"/>
          </w:tcPr>
          <w:p w:rsidR="00D52EA2" w:rsidRPr="00F21E9C" w:rsidRDefault="00D52EA2" w:rsidP="006B0637">
            <w:pPr>
              <w:spacing w:after="0"/>
              <w:rPr>
                <w:rFonts w:ascii="Tahoma" w:eastAsia="Times" w:hAnsi="Tahoma" w:cs="Tahoma"/>
                <w:b/>
                <w:bCs/>
                <w:sz w:val="16"/>
                <w:szCs w:val="16"/>
              </w:rPr>
            </w:pPr>
            <w:r w:rsidRPr="00F21E9C">
              <w:rPr>
                <w:rFonts w:ascii="Tahoma" w:eastAsia="Times" w:hAnsi="Tahoma" w:cs="Tahoma"/>
                <w:b/>
                <w:bCs/>
                <w:sz w:val="16"/>
                <w:szCs w:val="16"/>
              </w:rPr>
              <w:t>TIPOLOGÍA CONTENIDO</w:t>
            </w:r>
          </w:p>
        </w:tc>
        <w:tc>
          <w:tcPr>
            <w:tcW w:w="3580" w:type="dxa"/>
            <w:vAlign w:val="center"/>
          </w:tcPr>
          <w:p w:rsidR="00D52EA2" w:rsidRPr="00F21E9C" w:rsidRDefault="00D52EA2" w:rsidP="006B0637">
            <w:pPr>
              <w:spacing w:after="0"/>
              <w:rPr>
                <w:rFonts w:ascii="Tahoma" w:eastAsia="Times" w:hAnsi="Tahoma" w:cs="Tahoma"/>
                <w:sz w:val="20"/>
                <w:szCs w:val="20"/>
              </w:rPr>
            </w:pPr>
          </w:p>
        </w:tc>
      </w:tr>
      <w:tr w:rsidR="00D52EA2" w:rsidRPr="00F21E9C" w:rsidTr="00D52EA2">
        <w:trPr>
          <w:jc w:val="center"/>
        </w:trPr>
        <w:tc>
          <w:tcPr>
            <w:tcW w:w="3515" w:type="dxa"/>
            <w:tcBorders>
              <w:bottom w:val="single" w:sz="4" w:space="0" w:color="auto"/>
            </w:tcBorders>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 xml:space="preserve">Publicaciones sobre series </w:t>
            </w:r>
          </w:p>
        </w:tc>
        <w:tc>
          <w:tcPr>
            <w:tcW w:w="2747" w:type="dxa"/>
            <w:tcBorders>
              <w:bottom w:val="single" w:sz="4" w:space="0" w:color="auto"/>
            </w:tcBorders>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55</w:t>
            </w:r>
          </w:p>
        </w:tc>
        <w:tc>
          <w:tcPr>
            <w:tcW w:w="3580" w:type="dxa"/>
            <w:tcBorders>
              <w:bottom w:val="single" w:sz="4" w:space="0" w:color="auto"/>
            </w:tcBorders>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63</w:t>
            </w:r>
          </w:p>
        </w:tc>
      </w:tr>
      <w:tr w:rsidR="00D52EA2" w:rsidRPr="00F21E9C" w:rsidTr="00D52EA2">
        <w:trPr>
          <w:jc w:val="center"/>
        </w:trPr>
        <w:tc>
          <w:tcPr>
            <w:tcW w:w="3515" w:type="dxa"/>
            <w:tcBorders>
              <w:bottom w:val="dashSmallGap" w:sz="4" w:space="0" w:color="auto"/>
            </w:tcBorders>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…sobre series originales</w:t>
            </w:r>
          </w:p>
        </w:tc>
        <w:tc>
          <w:tcPr>
            <w:tcW w:w="2747" w:type="dxa"/>
            <w:tcBorders>
              <w:bottom w:val="dashSmallGap" w:sz="4" w:space="0" w:color="auto"/>
            </w:tcBorders>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49</w:t>
            </w:r>
          </w:p>
        </w:tc>
        <w:tc>
          <w:tcPr>
            <w:tcW w:w="3580" w:type="dxa"/>
            <w:tcBorders>
              <w:bottom w:val="dashSmallGap" w:sz="4" w:space="0" w:color="auto"/>
            </w:tcBorders>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61</w:t>
            </w:r>
          </w:p>
        </w:tc>
      </w:tr>
      <w:tr w:rsidR="00D52EA2" w:rsidRPr="00F21E9C" w:rsidTr="00D52EA2">
        <w:trPr>
          <w:jc w:val="center"/>
        </w:trPr>
        <w:tc>
          <w:tcPr>
            <w:tcW w:w="3515" w:type="dxa"/>
            <w:tcBorders>
              <w:top w:val="dashSmallGap" w:sz="4" w:space="0" w:color="auto"/>
            </w:tcBorders>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…sobre series no originales</w:t>
            </w:r>
          </w:p>
        </w:tc>
        <w:tc>
          <w:tcPr>
            <w:tcW w:w="2747" w:type="dxa"/>
            <w:tcBorders>
              <w:top w:val="dashSmallGap" w:sz="4" w:space="0" w:color="auto"/>
            </w:tcBorders>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6</w:t>
            </w:r>
          </w:p>
        </w:tc>
        <w:tc>
          <w:tcPr>
            <w:tcW w:w="3580" w:type="dxa"/>
            <w:tcBorders>
              <w:top w:val="dashSmallGap" w:sz="4" w:space="0" w:color="auto"/>
            </w:tcBorders>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2</w:t>
            </w: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Publicaciones</w:t>
            </w:r>
            <w:r w:rsidRPr="00F21E9C">
              <w:rPr>
                <w:rFonts w:ascii="Tahoma" w:eastAsia="Times" w:hAnsi="Tahoma" w:cs="Tahoma"/>
                <w:i/>
                <w:iCs/>
                <w:sz w:val="20"/>
                <w:szCs w:val="20"/>
              </w:rPr>
              <w:t xml:space="preserve"> </w:t>
            </w:r>
            <w:r w:rsidRPr="00F21E9C">
              <w:rPr>
                <w:rFonts w:ascii="Tahoma" w:eastAsia="Times" w:hAnsi="Tahoma" w:cs="Tahoma"/>
                <w:sz w:val="20"/>
                <w:szCs w:val="20"/>
              </w:rPr>
              <w:t>sobre otros (no series)</w:t>
            </w:r>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45</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37</w:t>
            </w:r>
          </w:p>
        </w:tc>
      </w:tr>
      <w:tr w:rsidR="00D52EA2" w:rsidRPr="00F21E9C" w:rsidTr="00D52EA2">
        <w:trPr>
          <w:jc w:val="center"/>
        </w:trPr>
        <w:tc>
          <w:tcPr>
            <w:tcW w:w="6262" w:type="dxa"/>
            <w:gridSpan w:val="2"/>
            <w:shd w:val="clear" w:color="auto" w:fill="auto"/>
          </w:tcPr>
          <w:p w:rsidR="00D52EA2" w:rsidRPr="00F21E9C" w:rsidRDefault="00D52EA2" w:rsidP="00740778">
            <w:pPr>
              <w:spacing w:after="0"/>
              <w:rPr>
                <w:rFonts w:ascii="Tahoma" w:eastAsia="Times" w:hAnsi="Tahoma" w:cs="Tahoma"/>
                <w:b/>
                <w:bCs/>
                <w:sz w:val="16"/>
                <w:szCs w:val="16"/>
              </w:rPr>
            </w:pPr>
            <w:r w:rsidRPr="00F21E9C">
              <w:rPr>
                <w:rFonts w:ascii="Tahoma" w:eastAsia="Times" w:hAnsi="Tahoma" w:cs="Tahoma"/>
                <w:b/>
                <w:bCs/>
                <w:sz w:val="16"/>
                <w:szCs w:val="16"/>
              </w:rPr>
              <w:t>TIPOLOGÍA FINALIDAD</w:t>
            </w:r>
          </w:p>
        </w:tc>
        <w:tc>
          <w:tcPr>
            <w:tcW w:w="3580" w:type="dxa"/>
          </w:tcPr>
          <w:p w:rsidR="00D52EA2" w:rsidRPr="00F21E9C" w:rsidRDefault="00D52EA2" w:rsidP="00740778">
            <w:pPr>
              <w:spacing w:after="0"/>
              <w:rPr>
                <w:rFonts w:ascii="Tahoma" w:eastAsia="Times" w:hAnsi="Tahoma" w:cs="Tahoma"/>
                <w:sz w:val="20"/>
                <w:szCs w:val="20"/>
              </w:rPr>
            </w:pP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Comercial</w:t>
            </w:r>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82</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72</w:t>
            </w: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Participativa</w:t>
            </w:r>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15</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20</w:t>
            </w:r>
          </w:p>
        </w:tc>
      </w:tr>
      <w:tr w:rsidR="00D52EA2" w:rsidRPr="00F21E9C" w:rsidTr="00D52EA2">
        <w:trPr>
          <w:jc w:val="center"/>
        </w:trPr>
        <w:tc>
          <w:tcPr>
            <w:tcW w:w="3515" w:type="dxa"/>
            <w:shd w:val="clear" w:color="auto" w:fill="auto"/>
          </w:tcPr>
          <w:p w:rsidR="00D52EA2" w:rsidRPr="00F21E9C" w:rsidRDefault="00D52EA2" w:rsidP="00740778">
            <w:pPr>
              <w:spacing w:after="0"/>
              <w:jc w:val="both"/>
              <w:rPr>
                <w:rFonts w:ascii="Tahoma" w:eastAsia="Times" w:hAnsi="Tahoma" w:cs="Tahoma"/>
                <w:sz w:val="20"/>
                <w:szCs w:val="20"/>
              </w:rPr>
            </w:pPr>
            <w:r w:rsidRPr="00F21E9C">
              <w:rPr>
                <w:rFonts w:ascii="Tahoma" w:eastAsia="Times" w:hAnsi="Tahoma" w:cs="Tahoma"/>
                <w:sz w:val="20"/>
                <w:szCs w:val="20"/>
              </w:rPr>
              <w:t>Otros</w:t>
            </w:r>
          </w:p>
        </w:tc>
        <w:tc>
          <w:tcPr>
            <w:tcW w:w="2747" w:type="dxa"/>
            <w:shd w:val="clear" w:color="auto" w:fill="auto"/>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3</w:t>
            </w:r>
          </w:p>
        </w:tc>
        <w:tc>
          <w:tcPr>
            <w:tcW w:w="3580" w:type="dxa"/>
          </w:tcPr>
          <w:p w:rsidR="00D52EA2" w:rsidRPr="00F21E9C" w:rsidRDefault="00D52EA2" w:rsidP="00740778">
            <w:pPr>
              <w:spacing w:after="0"/>
              <w:rPr>
                <w:rFonts w:ascii="Tahoma" w:eastAsia="Times" w:hAnsi="Tahoma" w:cs="Tahoma"/>
                <w:sz w:val="20"/>
                <w:szCs w:val="20"/>
              </w:rPr>
            </w:pPr>
            <w:r w:rsidRPr="00F21E9C">
              <w:rPr>
                <w:rFonts w:ascii="Tahoma" w:eastAsia="Times" w:hAnsi="Tahoma" w:cs="Tahoma"/>
                <w:sz w:val="20"/>
                <w:szCs w:val="20"/>
              </w:rPr>
              <w:t>8</w:t>
            </w:r>
          </w:p>
        </w:tc>
      </w:tr>
    </w:tbl>
    <w:p w:rsidR="005D3F1F" w:rsidRDefault="005D3F1F" w:rsidP="00740778">
      <w:pPr>
        <w:spacing w:after="0"/>
        <w:ind w:firstLine="284"/>
        <w:rPr>
          <w:rFonts w:ascii="Tahoma" w:eastAsia="Times" w:hAnsi="Tahoma" w:cs="Tahoma"/>
          <w:b/>
          <w:bCs/>
          <w:sz w:val="24"/>
          <w:szCs w:val="24"/>
        </w:rPr>
      </w:pPr>
    </w:p>
    <w:p w:rsidR="00D52EA2" w:rsidRPr="00F21E9C" w:rsidRDefault="00D52EA2" w:rsidP="00740778">
      <w:pPr>
        <w:spacing w:after="0"/>
        <w:ind w:firstLine="284"/>
        <w:rPr>
          <w:rFonts w:ascii="Tahoma" w:eastAsia="Times" w:hAnsi="Tahoma" w:cs="Tahoma"/>
          <w:sz w:val="24"/>
          <w:szCs w:val="24"/>
        </w:rPr>
      </w:pPr>
      <w:r w:rsidRPr="00F21E9C">
        <w:rPr>
          <w:rFonts w:ascii="Tahoma" w:eastAsia="Times" w:hAnsi="Tahoma" w:cs="Tahoma"/>
          <w:b/>
          <w:bCs/>
          <w:sz w:val="24"/>
          <w:szCs w:val="24"/>
        </w:rPr>
        <w:t>Fuente:</w:t>
      </w:r>
      <w:r w:rsidRPr="00F21E9C">
        <w:rPr>
          <w:rFonts w:ascii="Tahoma" w:eastAsia="Times" w:hAnsi="Tahoma" w:cs="Tahoma"/>
          <w:sz w:val="24"/>
          <w:szCs w:val="24"/>
        </w:rPr>
        <w:t xml:space="preserve"> Elaboración propia.</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En Twitter,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tiene 12,3 mil publicaciones y un total de 760.000 seguidores que han generado 3.207 “me gusta”. Instagram, con un número muy inferior de publicaciones, cuenta, sin embargo, con una comunidad mayor (1,2 mil seguidores).</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De la muestra de publicaciones analizadas, en Twitter aproximadamente, la mitad (55) son sobre series, y en particular, de producción propia (49), mientras que el resto (45) se centran en otro tipo de contenidos como estrenos de documentales o películas. No obstante, se ha podido comprobar que para este tipo de contenidos audiovisuales tienen además otro perfil específico: @</w:t>
      </w:r>
      <w:proofErr w:type="spellStart"/>
      <w:r w:rsidRPr="00F21E9C">
        <w:rPr>
          <w:rFonts w:ascii="Tahoma" w:eastAsia="Times" w:hAnsi="Tahoma" w:cs="Tahoma"/>
          <w:sz w:val="24"/>
          <w:szCs w:val="24"/>
        </w:rPr>
        <w:t>NetflixPelis</w:t>
      </w:r>
      <w:proofErr w:type="spellEnd"/>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Respecto de la finalidad de las publicaciones, predominan las de carácter comercial (82) muy por delante de las que invitan a participar (15). De hecho, cabe señalar que no se ha publicado ningún </w:t>
      </w:r>
      <w:r w:rsidRPr="00F21E9C">
        <w:rPr>
          <w:rFonts w:ascii="Tahoma" w:eastAsia="Times" w:hAnsi="Tahoma" w:cs="Tahoma"/>
          <w:i/>
          <w:iCs/>
          <w:sz w:val="24"/>
          <w:szCs w:val="24"/>
        </w:rPr>
        <w:t xml:space="preserve">tweet </w:t>
      </w:r>
      <w:r w:rsidRPr="00F21E9C">
        <w:rPr>
          <w:rFonts w:ascii="Tahoma" w:eastAsia="Times" w:hAnsi="Tahoma" w:cs="Tahoma"/>
          <w:sz w:val="24"/>
          <w:szCs w:val="24"/>
        </w:rPr>
        <w:t>sobre series (original o no) que sea participativo.</w:t>
      </w:r>
    </w:p>
    <w:p w:rsidR="00D52EA2" w:rsidRPr="00F21E9C" w:rsidRDefault="00D52EA2" w:rsidP="00740778">
      <w:pPr>
        <w:spacing w:after="0"/>
        <w:ind w:firstLine="284"/>
        <w:jc w:val="both"/>
        <w:rPr>
          <w:rFonts w:ascii="Tahoma" w:eastAsia="Times" w:hAnsi="Tahoma" w:cs="Tahoma"/>
          <w:sz w:val="24"/>
          <w:szCs w:val="24"/>
        </w:rPr>
      </w:pPr>
    </w:p>
    <w:p w:rsidR="00D52EA2"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Se muestra a continuación un ejemplo del tipo de </w:t>
      </w:r>
      <w:r w:rsidRPr="00F21E9C">
        <w:rPr>
          <w:rFonts w:ascii="Tahoma" w:eastAsia="Times" w:hAnsi="Tahoma" w:cs="Tahoma"/>
          <w:i/>
          <w:iCs/>
          <w:sz w:val="24"/>
          <w:szCs w:val="24"/>
        </w:rPr>
        <w:t xml:space="preserve">tweet </w:t>
      </w:r>
      <w:r w:rsidRPr="00F21E9C">
        <w:rPr>
          <w:rFonts w:ascii="Tahoma" w:eastAsia="Times" w:hAnsi="Tahoma" w:cs="Tahoma"/>
          <w:sz w:val="24"/>
          <w:szCs w:val="24"/>
        </w:rPr>
        <w:t>más frecuente.</w:t>
      </w:r>
    </w:p>
    <w:p w:rsidR="00467539" w:rsidRDefault="00467539" w:rsidP="00740778">
      <w:pPr>
        <w:spacing w:after="0"/>
        <w:ind w:firstLine="284"/>
        <w:jc w:val="both"/>
        <w:rPr>
          <w:rFonts w:ascii="Tahoma" w:eastAsia="Times" w:hAnsi="Tahoma" w:cs="Tahoma"/>
          <w:sz w:val="24"/>
          <w:szCs w:val="24"/>
        </w:rPr>
      </w:pPr>
    </w:p>
    <w:p w:rsidR="007E7893" w:rsidRDefault="007E7893" w:rsidP="00740778">
      <w:pPr>
        <w:spacing w:after="0"/>
        <w:ind w:firstLine="284"/>
        <w:jc w:val="both"/>
        <w:rPr>
          <w:rFonts w:ascii="Tahoma" w:eastAsia="Times" w:hAnsi="Tahoma" w:cs="Tahoma"/>
          <w:sz w:val="24"/>
          <w:szCs w:val="24"/>
        </w:rPr>
      </w:pPr>
      <w:r>
        <w:rPr>
          <w:noProof/>
        </w:rPr>
        <w:pict>
          <v:shape id="Imagen 3" o:spid="_x0000_s1037" type="#_x0000_t75" style="position:absolute;left:0;text-align:left;margin-left:8.5pt;margin-top:1.15pt;width:425.5pt;height:452.4pt;z-index:-251635712;visibility:visible;mso-position-horizontal-relative:text;mso-position-vertical-relative:text;mso-width-relative:page;mso-height-relative:page" wrapcoords="-72 0 -72 21532 21600 21532 21600 0 -72 0">
            <v:imagedata r:id="rId24" o:title=""/>
            <w10:wrap type="tight"/>
          </v:shape>
        </w:pict>
      </w: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467539" w:rsidRDefault="00467539" w:rsidP="00740778">
      <w:pPr>
        <w:spacing w:after="0"/>
        <w:ind w:firstLine="284"/>
        <w:jc w:val="both"/>
        <w:rPr>
          <w:rFonts w:ascii="Tahoma" w:eastAsia="Times" w:hAnsi="Tahoma" w:cs="Tahoma"/>
          <w:sz w:val="24"/>
          <w:szCs w:val="24"/>
        </w:rPr>
      </w:pPr>
    </w:p>
    <w:p w:rsidR="005D3F1F" w:rsidRDefault="005D3F1F" w:rsidP="00740778">
      <w:pPr>
        <w:spacing w:after="0"/>
        <w:rPr>
          <w:rFonts w:ascii="Tahoma" w:eastAsia="Times" w:hAnsi="Tahoma" w:cs="Tahoma"/>
          <w:b/>
          <w:bCs/>
          <w:i/>
          <w:iCs/>
          <w:sz w:val="24"/>
          <w:szCs w:val="24"/>
        </w:rPr>
      </w:pPr>
    </w:p>
    <w:p w:rsidR="007E7893" w:rsidRDefault="007E7893" w:rsidP="00740778">
      <w:pPr>
        <w:spacing w:after="0"/>
        <w:rPr>
          <w:rFonts w:ascii="Tahoma" w:eastAsia="Times" w:hAnsi="Tahoma" w:cs="Tahoma"/>
          <w:b/>
          <w:bCs/>
          <w:i/>
          <w:iCs/>
          <w:sz w:val="24"/>
          <w:szCs w:val="24"/>
        </w:rPr>
      </w:pPr>
    </w:p>
    <w:p w:rsidR="00D52EA2" w:rsidRPr="00F21E9C" w:rsidRDefault="00D52EA2" w:rsidP="00740778">
      <w:pPr>
        <w:spacing w:after="0"/>
        <w:rPr>
          <w:rFonts w:ascii="Tahoma" w:eastAsia="Times" w:hAnsi="Tahoma" w:cs="Tahoma"/>
          <w:b/>
          <w:bCs/>
          <w:i/>
          <w:iCs/>
          <w:sz w:val="24"/>
          <w:szCs w:val="24"/>
        </w:rPr>
      </w:pPr>
      <w:r w:rsidRPr="00F21E9C">
        <w:rPr>
          <w:rFonts w:ascii="Tahoma" w:eastAsia="Times" w:hAnsi="Tahoma" w:cs="Tahoma"/>
          <w:b/>
          <w:bCs/>
          <w:i/>
          <w:iCs/>
          <w:sz w:val="24"/>
          <w:szCs w:val="24"/>
        </w:rPr>
        <w:t>Imagen 1.</w:t>
      </w:r>
      <w:r w:rsidRPr="00F21E9C">
        <w:rPr>
          <w:rFonts w:ascii="Tahoma" w:eastAsia="Times" w:hAnsi="Tahoma" w:cs="Tahoma"/>
          <w:b/>
          <w:bCs/>
          <w:sz w:val="24"/>
          <w:szCs w:val="24"/>
        </w:rPr>
        <w:t xml:space="preserve"> </w:t>
      </w:r>
      <w:r w:rsidRPr="00F21E9C">
        <w:rPr>
          <w:rFonts w:ascii="Tahoma" w:eastAsia="Times" w:hAnsi="Tahoma" w:cs="Tahoma"/>
          <w:i/>
          <w:iCs/>
          <w:sz w:val="24"/>
          <w:szCs w:val="24"/>
        </w:rPr>
        <w:t>Tweet sobre serie original con finalidad comercial</w:t>
      </w:r>
    </w:p>
    <w:p w:rsidR="00D52EA2" w:rsidRPr="00F21E9C" w:rsidRDefault="00D52EA2" w:rsidP="00740778">
      <w:pPr>
        <w:spacing w:after="0"/>
        <w:ind w:firstLine="284"/>
        <w:rPr>
          <w:rFonts w:ascii="Tahoma" w:eastAsia="Times" w:hAnsi="Tahoma" w:cs="Tahoma"/>
          <w:sz w:val="24"/>
          <w:szCs w:val="24"/>
        </w:rPr>
      </w:pPr>
      <w:r w:rsidRPr="00F21E9C">
        <w:rPr>
          <w:rFonts w:ascii="Tahoma" w:eastAsia="Times" w:hAnsi="Tahoma" w:cs="Tahoma"/>
          <w:b/>
          <w:sz w:val="24"/>
          <w:szCs w:val="24"/>
        </w:rPr>
        <w:t>Fuente:</w:t>
      </w:r>
      <w:r w:rsidRPr="00F21E9C">
        <w:rPr>
          <w:rFonts w:ascii="Tahoma" w:eastAsia="Times" w:hAnsi="Tahoma" w:cs="Tahoma"/>
          <w:sz w:val="24"/>
          <w:szCs w:val="24"/>
        </w:rPr>
        <w:t xml:space="preserve"> @</w:t>
      </w:r>
      <w:proofErr w:type="spellStart"/>
      <w:r w:rsidRPr="00F21E9C">
        <w:rPr>
          <w:rFonts w:ascii="Tahoma" w:eastAsia="Times" w:hAnsi="Tahoma" w:cs="Tahoma"/>
          <w:sz w:val="24"/>
          <w:szCs w:val="24"/>
        </w:rPr>
        <w:t>NetflixES</w:t>
      </w:r>
      <w:proofErr w:type="spellEnd"/>
      <w:r w:rsidRPr="00F21E9C">
        <w:rPr>
          <w:rFonts w:ascii="Tahoma" w:eastAsia="Times" w:hAnsi="Tahoma" w:cs="Tahoma"/>
          <w:sz w:val="24"/>
          <w:szCs w:val="24"/>
        </w:rPr>
        <w:t>, Twitter (2019, 6 marzo)</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En lo que respecta a Instagram, la diferencia entre el total de publicaciones sobre series (63) y el resto (37) es mayor y se mantiene el predominio de aquellas que versan sobre series originales (61). Igualmente se observan diferencias en lo que respecta a la proporción de publicaciones participativas (20) respecto de las comerciales (72) ya que hay un mayor número de participativas, aunque también predominan las comerciales. </w:t>
      </w:r>
    </w:p>
    <w:p w:rsidR="00D52EA2" w:rsidRPr="00F21E9C" w:rsidRDefault="00D52EA2" w:rsidP="00740778">
      <w:pPr>
        <w:autoSpaceDE w:val="0"/>
        <w:autoSpaceDN w:val="0"/>
        <w:adjustRightInd w:val="0"/>
        <w:spacing w:after="0"/>
        <w:jc w:val="both"/>
        <w:rPr>
          <w:rFonts w:ascii="Tahoma" w:hAnsi="Tahoma" w:cs="Tahoma"/>
          <w:b/>
          <w:bCs/>
          <w:sz w:val="24"/>
          <w:szCs w:val="24"/>
        </w:rPr>
      </w:pPr>
    </w:p>
    <w:p w:rsidR="00D52EA2" w:rsidRPr="00F21E9C" w:rsidRDefault="00D52EA2" w:rsidP="00740778">
      <w:pPr>
        <w:autoSpaceDE w:val="0"/>
        <w:autoSpaceDN w:val="0"/>
        <w:adjustRightInd w:val="0"/>
        <w:spacing w:after="0"/>
        <w:jc w:val="both"/>
        <w:rPr>
          <w:rFonts w:ascii="Tahoma" w:hAnsi="Tahoma" w:cs="Tahoma"/>
          <w:b/>
          <w:bCs/>
          <w:color w:val="00B050"/>
          <w:sz w:val="24"/>
          <w:szCs w:val="24"/>
        </w:rPr>
      </w:pPr>
      <w:r w:rsidRPr="00F21E9C">
        <w:rPr>
          <w:rFonts w:ascii="Tahoma" w:hAnsi="Tahoma" w:cs="Tahoma"/>
          <w:b/>
          <w:bCs/>
          <w:sz w:val="24"/>
          <w:szCs w:val="24"/>
        </w:rPr>
        <w:t xml:space="preserve">4.2. Interacción y </w:t>
      </w:r>
      <w:proofErr w:type="spellStart"/>
      <w:r w:rsidRPr="00F21E9C">
        <w:rPr>
          <w:rFonts w:ascii="Tahoma" w:hAnsi="Tahoma" w:cs="Tahoma"/>
          <w:b/>
          <w:bCs/>
          <w:i/>
          <w:iCs/>
          <w:sz w:val="24"/>
          <w:szCs w:val="24"/>
        </w:rPr>
        <w:t>engagement</w:t>
      </w:r>
      <w:proofErr w:type="spellEnd"/>
      <w:r w:rsidRPr="00F21E9C">
        <w:rPr>
          <w:rFonts w:ascii="Tahoma" w:hAnsi="Tahoma" w:cs="Tahoma"/>
          <w:b/>
          <w:bCs/>
          <w:i/>
          <w:iCs/>
          <w:sz w:val="24"/>
          <w:szCs w:val="24"/>
        </w:rPr>
        <w:t xml:space="preserve"> online</w:t>
      </w:r>
      <w:r w:rsidRPr="00F21E9C">
        <w:rPr>
          <w:rFonts w:ascii="Tahoma" w:hAnsi="Tahoma" w:cs="Tahoma"/>
          <w:b/>
          <w:bCs/>
          <w:sz w:val="24"/>
          <w:szCs w:val="24"/>
        </w:rPr>
        <w:t xml:space="preserve"> </w:t>
      </w:r>
    </w:p>
    <w:p w:rsidR="00D52EA2" w:rsidRPr="00F21E9C" w:rsidRDefault="00D52EA2" w:rsidP="00740778">
      <w:pPr>
        <w:autoSpaceDE w:val="0"/>
        <w:autoSpaceDN w:val="0"/>
        <w:adjustRightInd w:val="0"/>
        <w:spacing w:after="0"/>
        <w:jc w:val="both"/>
        <w:rPr>
          <w:rFonts w:ascii="Tahoma" w:hAnsi="Tahoma" w:cs="Tahoma"/>
          <w:color w:val="00B050"/>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Identificadas y catalogadas las publicaciones se concreta el grado de interacción logrado por</w:t>
      </w:r>
      <w:r w:rsidRPr="00F21E9C">
        <w:rPr>
          <w:rFonts w:ascii="Cambria" w:eastAsia="Times" w:hAnsi="Cambria"/>
        </w:rPr>
        <w:t xml:space="preserve"> </w:t>
      </w:r>
      <w:r w:rsidRPr="00F21E9C">
        <w:rPr>
          <w:rFonts w:ascii="Tahoma" w:eastAsia="Times" w:hAnsi="Tahoma" w:cs="Tahoma"/>
          <w:sz w:val="24"/>
          <w:szCs w:val="24"/>
        </w:rPr>
        <w:t>cada una de ellas (Tabla 3). Esta información relativa al O3 sirve para dar respuesta a la P.I.2. Para ello, y con el fin de poder realizar comparaciones objetivas se han complementado los resultados totales con los promedios por publicación</w:t>
      </w:r>
      <w:r w:rsidRPr="00F21E9C">
        <w:rPr>
          <w:rFonts w:ascii="Tahoma" w:eastAsia="Times" w:hAnsi="Tahoma" w:cs="Tahoma"/>
          <w:i/>
          <w:iCs/>
          <w:sz w:val="24"/>
          <w:szCs w:val="24"/>
        </w:rPr>
        <w:t xml:space="preserve"> </w:t>
      </w:r>
      <w:r w:rsidRPr="00F21E9C">
        <w:rPr>
          <w:rFonts w:ascii="Tahoma" w:eastAsia="Times" w:hAnsi="Tahoma" w:cs="Tahoma"/>
          <w:sz w:val="24"/>
          <w:szCs w:val="24"/>
        </w:rPr>
        <w:t>(Tabla 4).</w:t>
      </w:r>
    </w:p>
    <w:p w:rsidR="00D52EA2" w:rsidRDefault="00D52EA2" w:rsidP="00740778">
      <w:pPr>
        <w:spacing w:after="0"/>
        <w:rPr>
          <w:rFonts w:ascii="Tahoma" w:hAnsi="Tahoma" w:cs="Tahoma"/>
          <w:sz w:val="24"/>
          <w:szCs w:val="24"/>
        </w:rPr>
      </w:pPr>
    </w:p>
    <w:p w:rsidR="007E7893" w:rsidRPr="00F21E9C" w:rsidRDefault="007E7893" w:rsidP="00740778">
      <w:pPr>
        <w:spacing w:after="0"/>
        <w:rPr>
          <w:rFonts w:ascii="Tahoma" w:hAnsi="Tahoma" w:cs="Tahoma"/>
          <w:sz w:val="24"/>
          <w:szCs w:val="24"/>
        </w:rPr>
      </w:pPr>
    </w:p>
    <w:p w:rsidR="00D52EA2" w:rsidRDefault="00D52EA2" w:rsidP="006B0637">
      <w:pPr>
        <w:keepNext/>
        <w:spacing w:after="0"/>
        <w:rPr>
          <w:rFonts w:ascii="Tahoma" w:eastAsia="Times" w:hAnsi="Tahoma" w:cs="Tahoma"/>
          <w:i/>
          <w:iCs/>
          <w:sz w:val="24"/>
          <w:szCs w:val="24"/>
        </w:rPr>
      </w:pPr>
      <w:r w:rsidRPr="00F21E9C">
        <w:rPr>
          <w:rFonts w:ascii="Tahoma" w:eastAsia="Times" w:hAnsi="Tahoma" w:cs="Tahoma"/>
          <w:b/>
          <w:bCs/>
          <w:i/>
          <w:iCs/>
          <w:sz w:val="24"/>
          <w:szCs w:val="24"/>
        </w:rPr>
        <w:t xml:space="preserve">Tabla 3. </w:t>
      </w:r>
      <w:r w:rsidRPr="00F21E9C">
        <w:rPr>
          <w:rFonts w:ascii="Tahoma" w:eastAsia="Times" w:hAnsi="Tahoma" w:cs="Tahoma"/>
          <w:i/>
          <w:iCs/>
          <w:sz w:val="24"/>
          <w:szCs w:val="24"/>
        </w:rPr>
        <w:t xml:space="preserve">Interacción y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según tipología, en Twitter (TW) e Instagram (INST) (Total)</w:t>
      </w:r>
    </w:p>
    <w:p w:rsidR="005D3F1F" w:rsidRPr="00F21E9C" w:rsidRDefault="005D3F1F" w:rsidP="006B0637">
      <w:pPr>
        <w:keepNext/>
        <w:spacing w:after="0"/>
        <w:rPr>
          <w:rFonts w:ascii="Tahoma" w:eastAsia="Times" w:hAnsi="Tahoma" w:cs="Tahoma"/>
          <w:i/>
          <w:iCs/>
          <w:sz w:val="24"/>
          <w:szCs w:val="24"/>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1"/>
        <w:gridCol w:w="961"/>
        <w:gridCol w:w="1156"/>
        <w:gridCol w:w="836"/>
        <w:gridCol w:w="641"/>
        <w:gridCol w:w="935"/>
        <w:gridCol w:w="836"/>
        <w:gridCol w:w="961"/>
        <w:gridCol w:w="1156"/>
      </w:tblGrid>
      <w:tr w:rsidR="00D52EA2" w:rsidRPr="005D3F1F" w:rsidTr="001777FE">
        <w:trPr>
          <w:trHeight w:val="233"/>
          <w:jc w:val="center"/>
        </w:trPr>
        <w:tc>
          <w:tcPr>
            <w:tcW w:w="2651"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 </w:t>
            </w:r>
          </w:p>
        </w:tc>
        <w:tc>
          <w:tcPr>
            <w:tcW w:w="2117" w:type="dxa"/>
            <w:gridSpan w:val="2"/>
            <w:shd w:val="clear" w:color="auto" w:fill="auto"/>
            <w:vAlign w:val="center"/>
            <w:hideMark/>
          </w:tcPr>
          <w:p w:rsidR="00D52EA2" w:rsidRPr="005D3F1F" w:rsidRDefault="00D52EA2" w:rsidP="00740778">
            <w:pPr>
              <w:spacing w:after="0"/>
              <w:rPr>
                <w:rFonts w:ascii="Tahoma" w:hAnsi="Tahoma" w:cs="Tahoma"/>
                <w:b/>
                <w:bCs/>
                <w:sz w:val="20"/>
                <w:szCs w:val="20"/>
              </w:rPr>
            </w:pPr>
            <w:r w:rsidRPr="005D3F1F">
              <w:rPr>
                <w:rFonts w:ascii="Tahoma" w:hAnsi="Tahoma" w:cs="Tahoma"/>
                <w:b/>
                <w:bCs/>
                <w:sz w:val="20"/>
                <w:szCs w:val="20"/>
              </w:rPr>
              <w:t>“Me gusta”</w:t>
            </w:r>
          </w:p>
        </w:tc>
        <w:tc>
          <w:tcPr>
            <w:tcW w:w="1477" w:type="dxa"/>
            <w:gridSpan w:val="2"/>
            <w:shd w:val="clear" w:color="auto" w:fill="auto"/>
            <w:vAlign w:val="center"/>
            <w:hideMark/>
          </w:tcPr>
          <w:p w:rsidR="00D52EA2" w:rsidRPr="005D3F1F" w:rsidRDefault="00D52EA2" w:rsidP="00740778">
            <w:pPr>
              <w:spacing w:after="0"/>
              <w:rPr>
                <w:rFonts w:ascii="Tahoma" w:hAnsi="Tahoma" w:cs="Tahoma"/>
                <w:b/>
                <w:bCs/>
                <w:i/>
                <w:iCs/>
                <w:sz w:val="20"/>
                <w:szCs w:val="20"/>
              </w:rPr>
            </w:pPr>
            <w:r w:rsidRPr="005D3F1F">
              <w:rPr>
                <w:rFonts w:ascii="Tahoma" w:hAnsi="Tahoma" w:cs="Tahoma"/>
                <w:b/>
                <w:bCs/>
                <w:i/>
                <w:iCs/>
                <w:sz w:val="20"/>
                <w:szCs w:val="20"/>
              </w:rPr>
              <w:t>“</w:t>
            </w:r>
            <w:proofErr w:type="spellStart"/>
            <w:r w:rsidRPr="005D3F1F">
              <w:rPr>
                <w:rFonts w:ascii="Tahoma" w:hAnsi="Tahoma" w:cs="Tahoma"/>
                <w:b/>
                <w:bCs/>
                <w:i/>
                <w:iCs/>
                <w:sz w:val="20"/>
                <w:szCs w:val="20"/>
              </w:rPr>
              <w:t>Retweet</w:t>
            </w:r>
            <w:proofErr w:type="spellEnd"/>
            <w:r w:rsidRPr="005D3F1F">
              <w:rPr>
                <w:rFonts w:ascii="Tahoma" w:hAnsi="Tahoma" w:cs="Tahoma"/>
                <w:b/>
                <w:bCs/>
                <w:i/>
                <w:iCs/>
                <w:sz w:val="20"/>
                <w:szCs w:val="20"/>
              </w:rPr>
              <w:t>”</w:t>
            </w:r>
          </w:p>
        </w:tc>
        <w:tc>
          <w:tcPr>
            <w:tcW w:w="1771" w:type="dxa"/>
            <w:gridSpan w:val="2"/>
            <w:shd w:val="clear" w:color="auto" w:fill="auto"/>
            <w:vAlign w:val="center"/>
            <w:hideMark/>
          </w:tcPr>
          <w:p w:rsidR="00D52EA2" w:rsidRPr="005D3F1F" w:rsidRDefault="00D52EA2" w:rsidP="00740778">
            <w:pPr>
              <w:spacing w:after="0"/>
              <w:rPr>
                <w:rFonts w:ascii="Tahoma" w:hAnsi="Tahoma" w:cs="Tahoma"/>
                <w:b/>
                <w:bCs/>
                <w:sz w:val="20"/>
                <w:szCs w:val="20"/>
              </w:rPr>
            </w:pPr>
            <w:r w:rsidRPr="005D3F1F">
              <w:rPr>
                <w:rFonts w:ascii="Tahoma" w:hAnsi="Tahoma" w:cs="Tahoma"/>
                <w:b/>
                <w:bCs/>
                <w:sz w:val="20"/>
                <w:szCs w:val="20"/>
              </w:rPr>
              <w:t>“Comentar”</w:t>
            </w:r>
          </w:p>
        </w:tc>
        <w:tc>
          <w:tcPr>
            <w:tcW w:w="2117" w:type="dxa"/>
            <w:gridSpan w:val="2"/>
            <w:shd w:val="clear" w:color="auto" w:fill="auto"/>
            <w:vAlign w:val="center"/>
            <w:hideMark/>
          </w:tcPr>
          <w:p w:rsidR="00D52EA2" w:rsidRPr="005D3F1F" w:rsidRDefault="00D52EA2" w:rsidP="00740778">
            <w:pPr>
              <w:spacing w:after="0"/>
              <w:rPr>
                <w:rFonts w:ascii="Tahoma" w:hAnsi="Tahoma" w:cs="Tahoma"/>
                <w:b/>
                <w:bCs/>
                <w:i/>
                <w:iCs/>
                <w:sz w:val="20"/>
                <w:szCs w:val="20"/>
              </w:rPr>
            </w:pPr>
            <w:proofErr w:type="spellStart"/>
            <w:r w:rsidRPr="005D3F1F">
              <w:rPr>
                <w:rFonts w:ascii="Tahoma" w:hAnsi="Tahoma" w:cs="Tahoma"/>
                <w:b/>
                <w:bCs/>
                <w:i/>
                <w:iCs/>
                <w:sz w:val="20"/>
                <w:szCs w:val="20"/>
              </w:rPr>
              <w:t>Engagement</w:t>
            </w:r>
            <w:proofErr w:type="spellEnd"/>
            <w:r w:rsidRPr="005D3F1F">
              <w:rPr>
                <w:rFonts w:ascii="Tahoma" w:hAnsi="Tahoma" w:cs="Tahoma"/>
                <w:b/>
                <w:bCs/>
                <w:i/>
                <w:iCs/>
                <w:sz w:val="20"/>
                <w:szCs w:val="20"/>
              </w:rPr>
              <w:t xml:space="preserve"> online</w:t>
            </w:r>
          </w:p>
        </w:tc>
      </w:tr>
      <w:tr w:rsidR="00D52EA2" w:rsidRPr="005D3F1F" w:rsidTr="001777FE">
        <w:trPr>
          <w:trHeight w:val="233"/>
          <w:jc w:val="center"/>
        </w:trPr>
        <w:tc>
          <w:tcPr>
            <w:tcW w:w="2651"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 </w:t>
            </w:r>
          </w:p>
        </w:tc>
        <w:tc>
          <w:tcPr>
            <w:tcW w:w="961"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TW</w:t>
            </w:r>
          </w:p>
        </w:tc>
        <w:tc>
          <w:tcPr>
            <w:tcW w:w="1156" w:type="dxa"/>
            <w:shd w:val="clear" w:color="000000" w:fill="B4C6E7"/>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INST</w:t>
            </w:r>
          </w:p>
        </w:tc>
        <w:tc>
          <w:tcPr>
            <w:tcW w:w="836"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TW</w:t>
            </w:r>
          </w:p>
        </w:tc>
        <w:tc>
          <w:tcPr>
            <w:tcW w:w="641" w:type="dxa"/>
            <w:shd w:val="clear" w:color="000000" w:fill="B4C6E7"/>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INST</w:t>
            </w:r>
          </w:p>
        </w:tc>
        <w:tc>
          <w:tcPr>
            <w:tcW w:w="935"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TW</w:t>
            </w:r>
          </w:p>
        </w:tc>
        <w:tc>
          <w:tcPr>
            <w:tcW w:w="836" w:type="dxa"/>
            <w:shd w:val="clear" w:color="000000" w:fill="B4C6E7"/>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INST</w:t>
            </w:r>
          </w:p>
        </w:tc>
        <w:tc>
          <w:tcPr>
            <w:tcW w:w="961"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TW</w:t>
            </w:r>
          </w:p>
        </w:tc>
        <w:tc>
          <w:tcPr>
            <w:tcW w:w="1156" w:type="dxa"/>
            <w:shd w:val="clear" w:color="000000" w:fill="B4C6E7"/>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INST</w:t>
            </w:r>
          </w:p>
        </w:tc>
      </w:tr>
      <w:tr w:rsidR="00D52EA2" w:rsidRPr="005D3F1F" w:rsidTr="001777FE">
        <w:trPr>
          <w:trHeight w:val="233"/>
          <w:jc w:val="center"/>
        </w:trPr>
        <w:tc>
          <w:tcPr>
            <w:tcW w:w="2651"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TOTAL PUBLICACIONES (000)</w:t>
            </w:r>
          </w:p>
        </w:tc>
        <w:tc>
          <w:tcPr>
            <w:tcW w:w="961"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155.878</w:t>
            </w:r>
          </w:p>
        </w:tc>
        <w:tc>
          <w:tcPr>
            <w:tcW w:w="115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3.824.363</w:t>
            </w:r>
          </w:p>
        </w:tc>
        <w:tc>
          <w:tcPr>
            <w:tcW w:w="836"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36.125</w:t>
            </w:r>
          </w:p>
        </w:tc>
        <w:tc>
          <w:tcPr>
            <w:tcW w:w="641"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w:t>
            </w:r>
          </w:p>
        </w:tc>
        <w:tc>
          <w:tcPr>
            <w:tcW w:w="935"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6.533</w:t>
            </w:r>
          </w:p>
        </w:tc>
        <w:tc>
          <w:tcPr>
            <w:tcW w:w="83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65.960</w:t>
            </w:r>
          </w:p>
        </w:tc>
        <w:tc>
          <w:tcPr>
            <w:tcW w:w="961"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198.536</w:t>
            </w:r>
          </w:p>
        </w:tc>
        <w:tc>
          <w:tcPr>
            <w:tcW w:w="115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3.890.323</w:t>
            </w:r>
          </w:p>
        </w:tc>
      </w:tr>
      <w:tr w:rsidR="00D52EA2" w:rsidRPr="005D3F1F" w:rsidTr="001777FE">
        <w:trPr>
          <w:trHeight w:val="233"/>
          <w:jc w:val="center"/>
        </w:trPr>
        <w:tc>
          <w:tcPr>
            <w:tcW w:w="10133" w:type="dxa"/>
            <w:gridSpan w:val="9"/>
            <w:tcBorders>
              <w:bottom w:val="single" w:sz="4" w:space="0" w:color="auto"/>
            </w:tcBorders>
            <w:shd w:val="clear" w:color="auto" w:fill="auto"/>
            <w:vAlign w:val="center"/>
            <w:hideMark/>
          </w:tcPr>
          <w:p w:rsidR="00D52EA2" w:rsidRPr="005D3F1F" w:rsidRDefault="00D52EA2" w:rsidP="00740778">
            <w:pPr>
              <w:spacing w:after="0"/>
              <w:rPr>
                <w:rFonts w:ascii="Tahoma" w:hAnsi="Tahoma" w:cs="Tahoma"/>
                <w:b/>
                <w:bCs/>
                <w:sz w:val="20"/>
                <w:szCs w:val="20"/>
              </w:rPr>
            </w:pPr>
            <w:r w:rsidRPr="005D3F1F">
              <w:rPr>
                <w:rFonts w:ascii="Tahoma" w:hAnsi="Tahoma" w:cs="Tahoma"/>
                <w:b/>
                <w:bCs/>
                <w:sz w:val="20"/>
                <w:szCs w:val="20"/>
              </w:rPr>
              <w:t xml:space="preserve">TIPOLOGÍA CONTENIDO </w:t>
            </w:r>
            <w:r w:rsidRPr="005D3F1F">
              <w:rPr>
                <w:rFonts w:ascii="Tahoma" w:eastAsia="Times" w:hAnsi="Tahoma" w:cs="Tahoma"/>
                <w:b/>
                <w:bCs/>
                <w:sz w:val="20"/>
                <w:szCs w:val="20"/>
              </w:rPr>
              <w:t>(% sobre el total)</w:t>
            </w:r>
          </w:p>
        </w:tc>
      </w:tr>
      <w:tr w:rsidR="00D52EA2" w:rsidRPr="005D3F1F" w:rsidTr="001777FE">
        <w:trPr>
          <w:trHeight w:val="233"/>
          <w:jc w:val="center"/>
        </w:trPr>
        <w:tc>
          <w:tcPr>
            <w:tcW w:w="2651" w:type="dxa"/>
            <w:tcBorders>
              <w:bottom w:val="dashSmallGap" w:sz="4" w:space="0" w:color="auto"/>
            </w:tcBorders>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 xml:space="preserve">Publicaciones sobre series </w:t>
            </w:r>
          </w:p>
        </w:tc>
        <w:tc>
          <w:tcPr>
            <w:tcW w:w="961" w:type="dxa"/>
            <w:tcBorders>
              <w:bottom w:val="dashSmallGap"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43,63%</w:t>
            </w:r>
          </w:p>
        </w:tc>
        <w:tc>
          <w:tcPr>
            <w:tcW w:w="1156" w:type="dxa"/>
            <w:tcBorders>
              <w:bottom w:val="dashSmallGap" w:sz="4" w:space="0" w:color="auto"/>
            </w:tcBorders>
            <w:shd w:val="clear" w:color="000000" w:fill="1F3864"/>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61%</w:t>
            </w:r>
          </w:p>
        </w:tc>
        <w:tc>
          <w:tcPr>
            <w:tcW w:w="836" w:type="dxa"/>
            <w:tcBorders>
              <w:bottom w:val="dashSmallGap"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46,5%</w:t>
            </w:r>
          </w:p>
        </w:tc>
        <w:tc>
          <w:tcPr>
            <w:tcW w:w="641" w:type="dxa"/>
            <w:tcBorders>
              <w:bottom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w:t>
            </w:r>
          </w:p>
        </w:tc>
        <w:tc>
          <w:tcPr>
            <w:tcW w:w="935" w:type="dxa"/>
            <w:tcBorders>
              <w:bottom w:val="dashSmallGap"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25,06%</w:t>
            </w:r>
          </w:p>
        </w:tc>
        <w:tc>
          <w:tcPr>
            <w:tcW w:w="836" w:type="dxa"/>
            <w:tcBorders>
              <w:bottom w:val="dashSmallGap" w:sz="4" w:space="0" w:color="auto"/>
            </w:tcBorders>
            <w:shd w:val="clear" w:color="000000" w:fill="1F3864"/>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54,3%</w:t>
            </w:r>
          </w:p>
        </w:tc>
        <w:tc>
          <w:tcPr>
            <w:tcW w:w="961" w:type="dxa"/>
            <w:tcBorders>
              <w:bottom w:val="dashSmallGap"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79,1%</w:t>
            </w:r>
          </w:p>
        </w:tc>
        <w:tc>
          <w:tcPr>
            <w:tcW w:w="1156" w:type="dxa"/>
            <w:tcBorders>
              <w:bottom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96,3%</w:t>
            </w:r>
          </w:p>
        </w:tc>
      </w:tr>
      <w:tr w:rsidR="00D52EA2" w:rsidRPr="005D3F1F" w:rsidTr="001777FE">
        <w:trPr>
          <w:trHeight w:val="233"/>
          <w:jc w:val="center"/>
        </w:trPr>
        <w:tc>
          <w:tcPr>
            <w:tcW w:w="2651" w:type="dxa"/>
            <w:tcBorders>
              <w:top w:val="dashSmallGap" w:sz="4" w:space="0" w:color="auto"/>
              <w:bottom w:val="dashSmallGap" w:sz="4" w:space="0" w:color="auto"/>
            </w:tcBorders>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…sobre series originales</w:t>
            </w:r>
          </w:p>
        </w:tc>
        <w:tc>
          <w:tcPr>
            <w:tcW w:w="961" w:type="dxa"/>
            <w:tcBorders>
              <w:top w:val="dashSmallGap" w:sz="4" w:space="0" w:color="auto"/>
              <w:bottom w:val="dashSmallGap"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34,98%</w:t>
            </w:r>
          </w:p>
        </w:tc>
        <w:tc>
          <w:tcPr>
            <w:tcW w:w="1156" w:type="dxa"/>
            <w:tcBorders>
              <w:top w:val="dashSmallGap" w:sz="4" w:space="0" w:color="auto"/>
              <w:bottom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57%</w:t>
            </w:r>
          </w:p>
        </w:tc>
        <w:tc>
          <w:tcPr>
            <w:tcW w:w="836" w:type="dxa"/>
            <w:tcBorders>
              <w:top w:val="dashSmallGap" w:sz="4" w:space="0" w:color="auto"/>
              <w:bottom w:val="dashSmallGap"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38,5%</w:t>
            </w:r>
          </w:p>
        </w:tc>
        <w:tc>
          <w:tcPr>
            <w:tcW w:w="641" w:type="dxa"/>
            <w:tcBorders>
              <w:top w:val="dashSmallGap" w:sz="4" w:space="0" w:color="auto"/>
              <w:bottom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w:t>
            </w:r>
          </w:p>
        </w:tc>
        <w:tc>
          <w:tcPr>
            <w:tcW w:w="935" w:type="dxa"/>
            <w:tcBorders>
              <w:top w:val="dashSmallGap" w:sz="4" w:space="0" w:color="auto"/>
              <w:bottom w:val="dashSmallGap"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19,36%</w:t>
            </w:r>
          </w:p>
        </w:tc>
        <w:tc>
          <w:tcPr>
            <w:tcW w:w="836" w:type="dxa"/>
            <w:tcBorders>
              <w:top w:val="dashSmallGap" w:sz="4" w:space="0" w:color="auto"/>
              <w:bottom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49,0%</w:t>
            </w:r>
          </w:p>
        </w:tc>
        <w:tc>
          <w:tcPr>
            <w:tcW w:w="961" w:type="dxa"/>
            <w:tcBorders>
              <w:top w:val="dashSmallGap" w:sz="4" w:space="0" w:color="auto"/>
              <w:bottom w:val="single"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71,6%</w:t>
            </w:r>
          </w:p>
        </w:tc>
        <w:tc>
          <w:tcPr>
            <w:tcW w:w="1156" w:type="dxa"/>
            <w:tcBorders>
              <w:top w:val="dashSmallGap" w:sz="4" w:space="0" w:color="auto"/>
              <w:bottom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93,6%</w:t>
            </w:r>
          </w:p>
        </w:tc>
      </w:tr>
      <w:tr w:rsidR="00D52EA2" w:rsidRPr="005D3F1F" w:rsidTr="001777FE">
        <w:trPr>
          <w:trHeight w:val="233"/>
          <w:jc w:val="center"/>
        </w:trPr>
        <w:tc>
          <w:tcPr>
            <w:tcW w:w="2651" w:type="dxa"/>
            <w:tcBorders>
              <w:top w:val="dashSmallGap" w:sz="4" w:space="0" w:color="auto"/>
            </w:tcBorders>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…sobre series no originales</w:t>
            </w:r>
          </w:p>
        </w:tc>
        <w:tc>
          <w:tcPr>
            <w:tcW w:w="961" w:type="dxa"/>
            <w:tcBorders>
              <w:top w:val="dashSmallGap" w:sz="4" w:space="0" w:color="auto"/>
              <w:bottom w:val="single"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8,64%</w:t>
            </w:r>
          </w:p>
        </w:tc>
        <w:tc>
          <w:tcPr>
            <w:tcW w:w="1156" w:type="dxa"/>
            <w:tcBorders>
              <w:top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4%</w:t>
            </w:r>
          </w:p>
        </w:tc>
        <w:tc>
          <w:tcPr>
            <w:tcW w:w="836" w:type="dxa"/>
            <w:tcBorders>
              <w:top w:val="dashSmallGap" w:sz="4" w:space="0" w:color="auto"/>
              <w:bottom w:val="single"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8,0%</w:t>
            </w:r>
          </w:p>
        </w:tc>
        <w:tc>
          <w:tcPr>
            <w:tcW w:w="641" w:type="dxa"/>
            <w:tcBorders>
              <w:top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w:t>
            </w:r>
          </w:p>
        </w:tc>
        <w:tc>
          <w:tcPr>
            <w:tcW w:w="935" w:type="dxa"/>
            <w:tcBorders>
              <w:top w:val="dashSmallGap"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1,56%</w:t>
            </w:r>
          </w:p>
        </w:tc>
        <w:tc>
          <w:tcPr>
            <w:tcW w:w="836" w:type="dxa"/>
            <w:tcBorders>
              <w:top w:val="dashSmallGap"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5,3%</w:t>
            </w:r>
          </w:p>
        </w:tc>
        <w:tc>
          <w:tcPr>
            <w:tcW w:w="961" w:type="dxa"/>
            <w:tcBorders>
              <w:top w:val="single" w:sz="4" w:space="0" w:color="auto"/>
            </w:tcBorders>
            <w:shd w:val="clear" w:color="000000" w:fill="FF999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138,2%</w:t>
            </w:r>
          </w:p>
        </w:tc>
        <w:tc>
          <w:tcPr>
            <w:tcW w:w="1156" w:type="dxa"/>
            <w:tcBorders>
              <w:top w:val="dashSmallGap" w:sz="4" w:space="0" w:color="auto"/>
            </w:tcBorders>
            <w:shd w:val="clear" w:color="000000" w:fill="FF999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178,3%</w:t>
            </w:r>
          </w:p>
        </w:tc>
      </w:tr>
      <w:tr w:rsidR="00D52EA2" w:rsidRPr="005D3F1F" w:rsidTr="001777FE">
        <w:trPr>
          <w:trHeight w:val="457"/>
          <w:jc w:val="center"/>
        </w:trPr>
        <w:tc>
          <w:tcPr>
            <w:tcW w:w="2651"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Publicaciones sobre otros (no series)</w:t>
            </w:r>
          </w:p>
        </w:tc>
        <w:tc>
          <w:tcPr>
            <w:tcW w:w="961" w:type="dxa"/>
            <w:shd w:val="clear" w:color="000000" w:fill="D9D9D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56,37%</w:t>
            </w:r>
          </w:p>
        </w:tc>
        <w:tc>
          <w:tcPr>
            <w:tcW w:w="115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39%</w:t>
            </w:r>
          </w:p>
        </w:tc>
        <w:tc>
          <w:tcPr>
            <w:tcW w:w="836" w:type="dxa"/>
            <w:shd w:val="clear" w:color="000000" w:fill="D9D9D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53,5%</w:t>
            </w:r>
          </w:p>
        </w:tc>
        <w:tc>
          <w:tcPr>
            <w:tcW w:w="641"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w:t>
            </w:r>
          </w:p>
        </w:tc>
        <w:tc>
          <w:tcPr>
            <w:tcW w:w="935" w:type="dxa"/>
            <w:shd w:val="clear" w:color="000000" w:fill="D9D9D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74,94%</w:t>
            </w:r>
          </w:p>
        </w:tc>
        <w:tc>
          <w:tcPr>
            <w:tcW w:w="83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45,7%</w:t>
            </w:r>
          </w:p>
        </w:tc>
        <w:tc>
          <w:tcPr>
            <w:tcW w:w="961"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125,5%</w:t>
            </w:r>
          </w:p>
        </w:tc>
        <w:tc>
          <w:tcPr>
            <w:tcW w:w="115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106,8%</w:t>
            </w:r>
          </w:p>
        </w:tc>
      </w:tr>
      <w:tr w:rsidR="00D52EA2" w:rsidRPr="005D3F1F" w:rsidTr="001777FE">
        <w:trPr>
          <w:trHeight w:val="233"/>
          <w:jc w:val="center"/>
        </w:trPr>
        <w:tc>
          <w:tcPr>
            <w:tcW w:w="10133" w:type="dxa"/>
            <w:gridSpan w:val="9"/>
            <w:shd w:val="clear" w:color="auto" w:fill="auto"/>
            <w:vAlign w:val="center"/>
            <w:hideMark/>
          </w:tcPr>
          <w:p w:rsidR="00D52EA2" w:rsidRPr="005D3F1F" w:rsidRDefault="00D52EA2" w:rsidP="00740778">
            <w:pPr>
              <w:spacing w:after="0"/>
              <w:rPr>
                <w:rFonts w:ascii="Tahoma" w:hAnsi="Tahoma" w:cs="Tahoma"/>
                <w:b/>
                <w:bCs/>
                <w:sz w:val="20"/>
                <w:szCs w:val="20"/>
              </w:rPr>
            </w:pPr>
            <w:r w:rsidRPr="005D3F1F">
              <w:rPr>
                <w:rFonts w:ascii="Tahoma" w:hAnsi="Tahoma" w:cs="Tahoma"/>
                <w:b/>
                <w:bCs/>
                <w:sz w:val="20"/>
                <w:szCs w:val="20"/>
              </w:rPr>
              <w:t xml:space="preserve">TIPOLOGÍA FINALIDAD </w:t>
            </w:r>
            <w:r w:rsidRPr="005D3F1F">
              <w:rPr>
                <w:rFonts w:ascii="Tahoma" w:eastAsia="Times" w:hAnsi="Tahoma" w:cs="Tahoma"/>
                <w:b/>
                <w:bCs/>
                <w:sz w:val="20"/>
                <w:szCs w:val="20"/>
              </w:rPr>
              <w:t>(% sobre el total)</w:t>
            </w:r>
          </w:p>
        </w:tc>
      </w:tr>
      <w:tr w:rsidR="00D52EA2" w:rsidRPr="005D3F1F" w:rsidTr="001777FE">
        <w:trPr>
          <w:trHeight w:val="233"/>
          <w:jc w:val="center"/>
        </w:trPr>
        <w:tc>
          <w:tcPr>
            <w:tcW w:w="2651"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Comercial</w:t>
            </w:r>
          </w:p>
        </w:tc>
        <w:tc>
          <w:tcPr>
            <w:tcW w:w="961" w:type="dxa"/>
            <w:shd w:val="clear" w:color="000000" w:fill="D9D9D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60,3%</w:t>
            </w:r>
          </w:p>
        </w:tc>
        <w:tc>
          <w:tcPr>
            <w:tcW w:w="1156" w:type="dxa"/>
            <w:shd w:val="clear" w:color="000000" w:fill="1F3864"/>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67%</w:t>
            </w:r>
          </w:p>
        </w:tc>
        <w:tc>
          <w:tcPr>
            <w:tcW w:w="836" w:type="dxa"/>
            <w:shd w:val="clear" w:color="000000" w:fill="D9D9D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62,3%</w:t>
            </w:r>
          </w:p>
        </w:tc>
        <w:tc>
          <w:tcPr>
            <w:tcW w:w="641"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w:t>
            </w:r>
          </w:p>
        </w:tc>
        <w:tc>
          <w:tcPr>
            <w:tcW w:w="935" w:type="dxa"/>
            <w:tcBorders>
              <w:bottom w:val="single"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34,21%</w:t>
            </w:r>
          </w:p>
        </w:tc>
        <w:tc>
          <w:tcPr>
            <w:tcW w:w="836" w:type="dxa"/>
            <w:shd w:val="clear" w:color="000000" w:fill="1F3864"/>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82,7%</w:t>
            </w:r>
          </w:p>
        </w:tc>
        <w:tc>
          <w:tcPr>
            <w:tcW w:w="961" w:type="dxa"/>
            <w:tcBorders>
              <w:bottom w:val="single" w:sz="4" w:space="0" w:color="auto"/>
            </w:tcBorders>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72,9%</w:t>
            </w:r>
          </w:p>
        </w:tc>
        <w:tc>
          <w:tcPr>
            <w:tcW w:w="1156" w:type="dxa"/>
            <w:tcBorders>
              <w:bottom w:val="single" w:sz="4" w:space="0" w:color="auto"/>
            </w:tcBorders>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92,8%</w:t>
            </w:r>
          </w:p>
        </w:tc>
      </w:tr>
      <w:tr w:rsidR="00D52EA2" w:rsidRPr="005D3F1F" w:rsidTr="001777FE">
        <w:trPr>
          <w:trHeight w:val="233"/>
          <w:jc w:val="center"/>
        </w:trPr>
        <w:tc>
          <w:tcPr>
            <w:tcW w:w="2651"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Participativa</w:t>
            </w:r>
          </w:p>
        </w:tc>
        <w:tc>
          <w:tcPr>
            <w:tcW w:w="961"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36,2%</w:t>
            </w:r>
          </w:p>
        </w:tc>
        <w:tc>
          <w:tcPr>
            <w:tcW w:w="115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28%</w:t>
            </w:r>
          </w:p>
        </w:tc>
        <w:tc>
          <w:tcPr>
            <w:tcW w:w="836"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34,2%</w:t>
            </w:r>
          </w:p>
        </w:tc>
        <w:tc>
          <w:tcPr>
            <w:tcW w:w="641"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w:t>
            </w:r>
          </w:p>
        </w:tc>
        <w:tc>
          <w:tcPr>
            <w:tcW w:w="935" w:type="dxa"/>
            <w:shd w:val="clear" w:color="000000" w:fill="FF999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63,97%</w:t>
            </w:r>
          </w:p>
        </w:tc>
        <w:tc>
          <w:tcPr>
            <w:tcW w:w="83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14,6%</w:t>
            </w:r>
          </w:p>
        </w:tc>
        <w:tc>
          <w:tcPr>
            <w:tcW w:w="961" w:type="dxa"/>
            <w:shd w:val="clear" w:color="000000" w:fill="FF999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245,2%</w:t>
            </w:r>
          </w:p>
        </w:tc>
        <w:tc>
          <w:tcPr>
            <w:tcW w:w="1156" w:type="dxa"/>
            <w:shd w:val="clear" w:color="000000" w:fill="FF9999"/>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140,7%</w:t>
            </w:r>
          </w:p>
        </w:tc>
      </w:tr>
      <w:tr w:rsidR="00D52EA2" w:rsidRPr="005D3F1F" w:rsidTr="001777FE">
        <w:trPr>
          <w:trHeight w:val="233"/>
          <w:jc w:val="center"/>
        </w:trPr>
        <w:tc>
          <w:tcPr>
            <w:tcW w:w="2651" w:type="dxa"/>
            <w:shd w:val="clear" w:color="auto" w:fill="auto"/>
            <w:vAlign w:val="center"/>
            <w:hideMark/>
          </w:tcPr>
          <w:p w:rsidR="00D52EA2" w:rsidRPr="005D3F1F" w:rsidRDefault="00D52EA2" w:rsidP="00740778">
            <w:pPr>
              <w:spacing w:after="0"/>
              <w:rPr>
                <w:rFonts w:ascii="Tahoma" w:hAnsi="Tahoma" w:cs="Tahoma"/>
                <w:sz w:val="20"/>
                <w:szCs w:val="20"/>
              </w:rPr>
            </w:pPr>
            <w:r w:rsidRPr="005D3F1F">
              <w:rPr>
                <w:rFonts w:ascii="Tahoma" w:hAnsi="Tahoma" w:cs="Tahoma"/>
                <w:sz w:val="20"/>
                <w:szCs w:val="20"/>
              </w:rPr>
              <w:t>Otros</w:t>
            </w:r>
          </w:p>
        </w:tc>
        <w:tc>
          <w:tcPr>
            <w:tcW w:w="961"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3,5%</w:t>
            </w:r>
          </w:p>
        </w:tc>
        <w:tc>
          <w:tcPr>
            <w:tcW w:w="115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5%</w:t>
            </w:r>
          </w:p>
        </w:tc>
        <w:tc>
          <w:tcPr>
            <w:tcW w:w="836"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3,6%</w:t>
            </w:r>
          </w:p>
        </w:tc>
        <w:tc>
          <w:tcPr>
            <w:tcW w:w="641"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w:t>
            </w:r>
          </w:p>
        </w:tc>
        <w:tc>
          <w:tcPr>
            <w:tcW w:w="935"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1,82%</w:t>
            </w:r>
          </w:p>
        </w:tc>
        <w:tc>
          <w:tcPr>
            <w:tcW w:w="83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2,7%</w:t>
            </w:r>
          </w:p>
        </w:tc>
        <w:tc>
          <w:tcPr>
            <w:tcW w:w="961" w:type="dxa"/>
            <w:shd w:val="clear" w:color="auto" w:fill="auto"/>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114,3%</w:t>
            </w:r>
          </w:p>
        </w:tc>
        <w:tc>
          <w:tcPr>
            <w:tcW w:w="1156" w:type="dxa"/>
            <w:shd w:val="clear" w:color="000000" w:fill="B4C6E7"/>
            <w:vAlign w:val="center"/>
            <w:hideMark/>
          </w:tcPr>
          <w:p w:rsidR="00D52EA2" w:rsidRPr="005D3F1F" w:rsidRDefault="00D52EA2" w:rsidP="00740778">
            <w:pPr>
              <w:spacing w:after="0"/>
              <w:jc w:val="both"/>
              <w:rPr>
                <w:rFonts w:ascii="Tahoma" w:hAnsi="Tahoma" w:cs="Tahoma"/>
                <w:sz w:val="20"/>
                <w:szCs w:val="20"/>
              </w:rPr>
            </w:pPr>
            <w:r w:rsidRPr="005D3F1F">
              <w:rPr>
                <w:rFonts w:ascii="Tahoma" w:hAnsi="Tahoma" w:cs="Tahoma"/>
                <w:sz w:val="20"/>
                <w:szCs w:val="20"/>
              </w:rPr>
              <w:t>62,9%</w:t>
            </w:r>
          </w:p>
        </w:tc>
      </w:tr>
      <w:tr w:rsidR="00D52EA2" w:rsidRPr="005D3F1F" w:rsidTr="001777FE">
        <w:trPr>
          <w:trHeight w:val="223"/>
          <w:jc w:val="center"/>
        </w:trPr>
        <w:tc>
          <w:tcPr>
            <w:tcW w:w="2651" w:type="dxa"/>
            <w:shd w:val="clear" w:color="auto" w:fill="auto"/>
            <w:noWrap/>
            <w:vAlign w:val="bottom"/>
            <w:hideMark/>
          </w:tcPr>
          <w:p w:rsidR="00D52EA2" w:rsidRPr="005D3F1F" w:rsidRDefault="00D52EA2" w:rsidP="00740778">
            <w:pPr>
              <w:spacing w:after="0"/>
              <w:jc w:val="both"/>
              <w:rPr>
                <w:rFonts w:ascii="Tahoma" w:hAnsi="Tahoma" w:cs="Tahoma"/>
                <w:sz w:val="20"/>
                <w:szCs w:val="20"/>
              </w:rPr>
            </w:pPr>
          </w:p>
        </w:tc>
        <w:tc>
          <w:tcPr>
            <w:tcW w:w="961" w:type="dxa"/>
            <w:shd w:val="clear" w:color="auto" w:fill="auto"/>
            <w:noWrap/>
            <w:vAlign w:val="bottom"/>
            <w:hideMark/>
          </w:tcPr>
          <w:p w:rsidR="00D52EA2" w:rsidRPr="005D3F1F" w:rsidRDefault="00D52EA2" w:rsidP="00740778">
            <w:pPr>
              <w:spacing w:after="0"/>
              <w:rPr>
                <w:rFonts w:ascii="Tahoma" w:hAnsi="Tahoma" w:cs="Tahoma"/>
                <w:sz w:val="20"/>
                <w:szCs w:val="20"/>
              </w:rPr>
            </w:pPr>
          </w:p>
        </w:tc>
        <w:tc>
          <w:tcPr>
            <w:tcW w:w="1156" w:type="dxa"/>
            <w:shd w:val="clear" w:color="auto" w:fill="auto"/>
            <w:noWrap/>
            <w:vAlign w:val="bottom"/>
            <w:hideMark/>
          </w:tcPr>
          <w:p w:rsidR="00D52EA2" w:rsidRPr="005D3F1F" w:rsidRDefault="00D52EA2" w:rsidP="00740778">
            <w:pPr>
              <w:spacing w:after="0"/>
              <w:rPr>
                <w:rFonts w:ascii="Tahoma" w:hAnsi="Tahoma" w:cs="Tahoma"/>
                <w:sz w:val="20"/>
                <w:szCs w:val="20"/>
              </w:rPr>
            </w:pPr>
          </w:p>
        </w:tc>
        <w:tc>
          <w:tcPr>
            <w:tcW w:w="836" w:type="dxa"/>
            <w:shd w:val="clear" w:color="auto" w:fill="auto"/>
            <w:noWrap/>
            <w:vAlign w:val="bottom"/>
            <w:hideMark/>
          </w:tcPr>
          <w:p w:rsidR="00D52EA2" w:rsidRPr="005D3F1F" w:rsidRDefault="00D52EA2" w:rsidP="00740778">
            <w:pPr>
              <w:spacing w:after="0"/>
              <w:rPr>
                <w:rFonts w:ascii="Tahoma" w:hAnsi="Tahoma" w:cs="Tahoma"/>
                <w:sz w:val="20"/>
                <w:szCs w:val="20"/>
              </w:rPr>
            </w:pPr>
          </w:p>
        </w:tc>
        <w:tc>
          <w:tcPr>
            <w:tcW w:w="641" w:type="dxa"/>
            <w:shd w:val="clear" w:color="auto" w:fill="auto"/>
            <w:noWrap/>
            <w:vAlign w:val="bottom"/>
            <w:hideMark/>
          </w:tcPr>
          <w:p w:rsidR="00D52EA2" w:rsidRPr="005D3F1F" w:rsidRDefault="00D52EA2" w:rsidP="00740778">
            <w:pPr>
              <w:spacing w:after="0"/>
              <w:rPr>
                <w:rFonts w:ascii="Tahoma" w:hAnsi="Tahoma" w:cs="Tahoma"/>
                <w:sz w:val="20"/>
                <w:szCs w:val="20"/>
              </w:rPr>
            </w:pPr>
          </w:p>
        </w:tc>
        <w:tc>
          <w:tcPr>
            <w:tcW w:w="935" w:type="dxa"/>
            <w:shd w:val="clear" w:color="auto" w:fill="auto"/>
            <w:noWrap/>
            <w:vAlign w:val="bottom"/>
            <w:hideMark/>
          </w:tcPr>
          <w:p w:rsidR="00D52EA2" w:rsidRPr="005D3F1F" w:rsidRDefault="00D52EA2" w:rsidP="00740778">
            <w:pPr>
              <w:spacing w:after="0"/>
              <w:rPr>
                <w:rFonts w:ascii="Tahoma" w:hAnsi="Tahoma" w:cs="Tahoma"/>
                <w:sz w:val="20"/>
                <w:szCs w:val="20"/>
              </w:rPr>
            </w:pPr>
          </w:p>
        </w:tc>
        <w:tc>
          <w:tcPr>
            <w:tcW w:w="836" w:type="dxa"/>
            <w:shd w:val="clear" w:color="auto" w:fill="auto"/>
            <w:noWrap/>
            <w:vAlign w:val="bottom"/>
            <w:hideMark/>
          </w:tcPr>
          <w:p w:rsidR="00D52EA2" w:rsidRPr="005D3F1F" w:rsidRDefault="00D52EA2" w:rsidP="00740778">
            <w:pPr>
              <w:spacing w:after="0"/>
              <w:rPr>
                <w:rFonts w:ascii="Tahoma" w:hAnsi="Tahoma" w:cs="Tahoma"/>
                <w:sz w:val="20"/>
                <w:szCs w:val="20"/>
              </w:rPr>
            </w:pPr>
          </w:p>
        </w:tc>
        <w:tc>
          <w:tcPr>
            <w:tcW w:w="961" w:type="dxa"/>
            <w:shd w:val="clear" w:color="auto" w:fill="auto"/>
            <w:noWrap/>
            <w:vAlign w:val="bottom"/>
            <w:hideMark/>
          </w:tcPr>
          <w:p w:rsidR="00D52EA2" w:rsidRPr="005D3F1F" w:rsidRDefault="00D52EA2" w:rsidP="00740778">
            <w:pPr>
              <w:spacing w:after="0"/>
              <w:rPr>
                <w:rFonts w:ascii="Tahoma" w:hAnsi="Tahoma" w:cs="Tahoma"/>
                <w:sz w:val="20"/>
                <w:szCs w:val="20"/>
              </w:rPr>
            </w:pPr>
          </w:p>
        </w:tc>
        <w:tc>
          <w:tcPr>
            <w:tcW w:w="1156" w:type="dxa"/>
            <w:shd w:val="clear" w:color="auto" w:fill="auto"/>
            <w:noWrap/>
            <w:vAlign w:val="bottom"/>
            <w:hideMark/>
          </w:tcPr>
          <w:p w:rsidR="00D52EA2" w:rsidRPr="005D3F1F" w:rsidRDefault="00D52EA2" w:rsidP="00740778">
            <w:pPr>
              <w:spacing w:after="0"/>
              <w:rPr>
                <w:rFonts w:ascii="Tahoma" w:hAnsi="Tahoma" w:cs="Tahoma"/>
                <w:sz w:val="20"/>
                <w:szCs w:val="20"/>
              </w:rPr>
            </w:pPr>
          </w:p>
        </w:tc>
      </w:tr>
    </w:tbl>
    <w:p w:rsidR="005D3F1F" w:rsidRDefault="005D3F1F" w:rsidP="00740778">
      <w:pPr>
        <w:spacing w:after="0"/>
        <w:rPr>
          <w:rFonts w:ascii="Tahoma" w:eastAsia="Times" w:hAnsi="Tahoma" w:cs="Tahoma"/>
          <w:b/>
          <w:bCs/>
          <w:sz w:val="24"/>
          <w:szCs w:val="24"/>
        </w:rPr>
      </w:pPr>
    </w:p>
    <w:p w:rsidR="00D52EA2" w:rsidRPr="00F21E9C" w:rsidRDefault="00D52EA2" w:rsidP="00740778">
      <w:pPr>
        <w:spacing w:after="0"/>
        <w:rPr>
          <w:rFonts w:ascii="Tahoma" w:eastAsia="Times" w:hAnsi="Tahoma" w:cs="Tahoma"/>
          <w:sz w:val="24"/>
          <w:szCs w:val="24"/>
        </w:rPr>
      </w:pPr>
      <w:r w:rsidRPr="00F21E9C">
        <w:rPr>
          <w:rFonts w:ascii="Tahoma" w:eastAsia="Times" w:hAnsi="Tahoma" w:cs="Tahoma"/>
          <w:b/>
          <w:bCs/>
          <w:sz w:val="24"/>
          <w:szCs w:val="24"/>
        </w:rPr>
        <w:t>Fuente:</w:t>
      </w:r>
      <w:r w:rsidRPr="00F21E9C">
        <w:rPr>
          <w:rFonts w:ascii="Tahoma" w:eastAsia="Times" w:hAnsi="Tahoma" w:cs="Tahoma"/>
          <w:sz w:val="24"/>
          <w:szCs w:val="24"/>
        </w:rPr>
        <w:t xml:space="preserve"> Elaboración propia.</w:t>
      </w:r>
    </w:p>
    <w:p w:rsidR="00D52EA2" w:rsidRDefault="00D52EA2" w:rsidP="00740778">
      <w:pPr>
        <w:spacing w:after="0"/>
        <w:ind w:firstLine="567"/>
        <w:jc w:val="both"/>
        <w:rPr>
          <w:rFonts w:ascii="Tahoma" w:eastAsia="Times" w:hAnsi="Tahoma" w:cs="Tahoma"/>
          <w:sz w:val="24"/>
          <w:szCs w:val="24"/>
        </w:rPr>
      </w:pPr>
    </w:p>
    <w:p w:rsidR="007E7893" w:rsidRPr="00F21E9C" w:rsidRDefault="007E7893" w:rsidP="00740778">
      <w:pPr>
        <w:spacing w:after="0"/>
        <w:ind w:firstLine="567"/>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Acorde a lo expuesto en la tabla 3, en Twitter la opción de interacción más utilizada es “me gusta” seguida de “</w:t>
      </w:r>
      <w:proofErr w:type="spellStart"/>
      <w:r w:rsidRPr="00F21E9C">
        <w:rPr>
          <w:rFonts w:ascii="Tahoma" w:eastAsia="Times" w:hAnsi="Tahoma" w:cs="Tahoma"/>
          <w:i/>
          <w:iCs/>
          <w:sz w:val="24"/>
          <w:szCs w:val="24"/>
        </w:rPr>
        <w:t>retweet</w:t>
      </w:r>
      <w:proofErr w:type="spellEnd"/>
      <w:r w:rsidRPr="00F21E9C">
        <w:rPr>
          <w:rFonts w:ascii="Tahoma" w:eastAsia="Times" w:hAnsi="Tahoma" w:cs="Tahoma"/>
          <w:sz w:val="24"/>
          <w:szCs w:val="24"/>
        </w:rPr>
        <w:t xml:space="preserve">” y, por último, “comentar”. Esta tendencia observada respecto del total de </w:t>
      </w:r>
      <w:r w:rsidRPr="00F21E9C">
        <w:rPr>
          <w:rFonts w:ascii="Tahoma" w:eastAsia="Times" w:hAnsi="Tahoma" w:cs="Tahoma"/>
          <w:i/>
          <w:iCs/>
          <w:sz w:val="24"/>
          <w:szCs w:val="24"/>
        </w:rPr>
        <w:t xml:space="preserve">tweets </w:t>
      </w:r>
      <w:r w:rsidRPr="00F21E9C">
        <w:rPr>
          <w:rFonts w:ascii="Tahoma" w:eastAsia="Times" w:hAnsi="Tahoma" w:cs="Tahoma"/>
          <w:sz w:val="24"/>
          <w:szCs w:val="24"/>
        </w:rPr>
        <w:t>se mantiene en todas las categorías. Lo mismo ocurre en Instagram.</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Por tipología en Twitter, son los </w:t>
      </w:r>
      <w:r w:rsidRPr="00F21E9C">
        <w:rPr>
          <w:rFonts w:ascii="Tahoma" w:eastAsia="Times" w:hAnsi="Tahoma" w:cs="Tahoma"/>
          <w:i/>
          <w:iCs/>
          <w:sz w:val="24"/>
          <w:szCs w:val="24"/>
        </w:rPr>
        <w:t xml:space="preserve">tweets </w:t>
      </w:r>
      <w:r w:rsidRPr="00F21E9C">
        <w:rPr>
          <w:rFonts w:ascii="Tahoma" w:eastAsia="Times" w:hAnsi="Tahoma" w:cs="Tahoma"/>
          <w:sz w:val="24"/>
          <w:szCs w:val="24"/>
        </w:rPr>
        <w:t xml:space="preserve">sobre otros contenidos (no series) y los de carácter comercial los que contabilizan los mayores totales en todas las opciones de interacción, excepto en el caso de “comentar” que, bajo el indicador relativo a finalidad, se produce en mayor medida en las publicaciones participativas (63,97%). En Instagram, sin embargo, son las publicaciones sobre series las que contabilizan el mayor número de “me gusta” y de comentarios debido, fundamentalmente, a las relativas a series de producción propia. En lo concerniente a la finalidad, son las publicaciones de carácter comercial las que lideran ambos </w:t>
      </w:r>
      <w:r w:rsidRPr="00F21E9C">
        <w:rPr>
          <w:rFonts w:ascii="Tahoma" w:eastAsia="Times" w:hAnsi="Tahoma" w:cs="Tahoma"/>
          <w:i/>
          <w:iCs/>
          <w:sz w:val="24"/>
          <w:szCs w:val="24"/>
        </w:rPr>
        <w:t>rankings,</w:t>
      </w:r>
      <w:r w:rsidRPr="00F21E9C">
        <w:rPr>
          <w:rFonts w:ascii="Tahoma" w:eastAsia="Times" w:hAnsi="Tahoma" w:cs="Tahoma"/>
          <w:sz w:val="24"/>
          <w:szCs w:val="24"/>
        </w:rPr>
        <w:t xml:space="preserve"> también el de los comentarios a diferencia de lo que ocurre en Twitter. Pese a esto, en términos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son las publicaciones participativas las que logran mejores resultados (140,7%) junto a las que versan sobre series, pero, en este caso, de producción ajena (178,3%), contrariamente a los resultados obtenidos individualmente por cada una de las dos opciones de interacción.</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En lo concerniente a Twitter, a diferencia de lo descrito a nivel de las opciones de interacción, los resultados relativos al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evidencian que son los </w:t>
      </w:r>
      <w:r w:rsidRPr="00F21E9C">
        <w:rPr>
          <w:rFonts w:ascii="Tahoma" w:eastAsia="Times" w:hAnsi="Tahoma" w:cs="Tahoma"/>
          <w:i/>
          <w:iCs/>
          <w:sz w:val="24"/>
          <w:szCs w:val="24"/>
        </w:rPr>
        <w:t xml:space="preserve">tweets </w:t>
      </w:r>
      <w:r w:rsidRPr="00F21E9C">
        <w:rPr>
          <w:rFonts w:ascii="Tahoma" w:eastAsia="Times" w:hAnsi="Tahoma" w:cs="Tahoma"/>
          <w:sz w:val="24"/>
          <w:szCs w:val="24"/>
        </w:rPr>
        <w:t>sobre series no originales los que mayor repercusión han tenido entre la audiencia social (138,2%). De igual modo son los</w:t>
      </w:r>
      <w:r w:rsidRPr="00F21E9C">
        <w:rPr>
          <w:rFonts w:ascii="Tahoma" w:eastAsia="Times" w:hAnsi="Tahoma" w:cs="Tahoma"/>
          <w:i/>
          <w:iCs/>
          <w:sz w:val="24"/>
          <w:szCs w:val="24"/>
        </w:rPr>
        <w:t xml:space="preserve"> tweets</w:t>
      </w:r>
      <w:r w:rsidRPr="00F21E9C">
        <w:rPr>
          <w:rFonts w:ascii="Tahoma" w:eastAsia="Times" w:hAnsi="Tahoma" w:cs="Tahoma"/>
          <w:sz w:val="24"/>
          <w:szCs w:val="24"/>
        </w:rPr>
        <w:t xml:space="preserve"> participativos los que mayor índice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han logrado (245,2%), en línea con lo observado con relación al número de comentarios (63,97%). </w:t>
      </w:r>
    </w:p>
    <w:p w:rsidR="00D52EA2" w:rsidRPr="00F21E9C" w:rsidRDefault="00D52EA2" w:rsidP="00740778">
      <w:pPr>
        <w:spacing w:after="0"/>
        <w:ind w:firstLine="284"/>
        <w:jc w:val="both"/>
        <w:rPr>
          <w:rFonts w:ascii="Tahoma" w:eastAsia="Times" w:hAnsi="Tahoma" w:cs="Tahoma"/>
          <w:sz w:val="24"/>
          <w:szCs w:val="24"/>
        </w:rPr>
      </w:pPr>
    </w:p>
    <w:p w:rsidR="00D52EA2"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Los resultados promedio/</w:t>
      </w:r>
      <w:r w:rsidRPr="00F21E9C">
        <w:rPr>
          <w:rFonts w:ascii="Tahoma" w:eastAsia="Times" w:hAnsi="Tahoma" w:cs="Tahoma"/>
          <w:i/>
          <w:iCs/>
          <w:sz w:val="24"/>
          <w:szCs w:val="24"/>
        </w:rPr>
        <w:t>tweet</w:t>
      </w:r>
      <w:r w:rsidRPr="00F21E9C">
        <w:rPr>
          <w:rFonts w:ascii="Tahoma" w:eastAsia="Times" w:hAnsi="Tahoma" w:cs="Tahoma"/>
          <w:sz w:val="24"/>
          <w:szCs w:val="24"/>
        </w:rPr>
        <w:t xml:space="preserve"> confirman, en gran parte, lo observado en términos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sz w:val="24"/>
          <w:szCs w:val="24"/>
        </w:rPr>
        <w:t xml:space="preserve">(Tabla 4). </w:t>
      </w:r>
    </w:p>
    <w:p w:rsidR="007E7893" w:rsidRPr="00F21E9C" w:rsidRDefault="007E7893"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567"/>
        <w:jc w:val="both"/>
        <w:rPr>
          <w:rFonts w:ascii="Tahoma" w:eastAsia="Times" w:hAnsi="Tahoma" w:cs="Tahoma"/>
          <w:sz w:val="24"/>
          <w:szCs w:val="24"/>
        </w:rPr>
      </w:pPr>
    </w:p>
    <w:p w:rsidR="00D52EA2" w:rsidRDefault="00D52EA2" w:rsidP="006B0637">
      <w:pPr>
        <w:keepNext/>
        <w:spacing w:after="0"/>
        <w:rPr>
          <w:rFonts w:ascii="Tahoma" w:eastAsia="Times" w:hAnsi="Tahoma" w:cs="Tahoma"/>
          <w:i/>
          <w:iCs/>
          <w:sz w:val="24"/>
          <w:szCs w:val="24"/>
        </w:rPr>
      </w:pPr>
      <w:r w:rsidRPr="00F21E9C">
        <w:rPr>
          <w:rFonts w:ascii="Tahoma" w:eastAsia="Times" w:hAnsi="Tahoma" w:cs="Tahoma"/>
          <w:b/>
          <w:bCs/>
          <w:i/>
          <w:iCs/>
          <w:sz w:val="24"/>
          <w:szCs w:val="24"/>
        </w:rPr>
        <w:t xml:space="preserve">Tabla 4. </w:t>
      </w:r>
      <w:r w:rsidRPr="00F21E9C">
        <w:rPr>
          <w:rFonts w:ascii="Tahoma" w:eastAsia="Times" w:hAnsi="Tahoma" w:cs="Tahoma"/>
          <w:i/>
          <w:iCs/>
          <w:sz w:val="24"/>
          <w:szCs w:val="24"/>
        </w:rPr>
        <w:t xml:space="preserve">Interacción y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según tipología, en Twitter (TW) e Instagram (INST) (Promedio/Publicación)</w:t>
      </w:r>
    </w:p>
    <w:p w:rsidR="005D3F1F" w:rsidRPr="00F21E9C" w:rsidRDefault="005D3F1F" w:rsidP="006B0637">
      <w:pPr>
        <w:keepNext/>
        <w:spacing w:after="0"/>
        <w:rPr>
          <w:rFonts w:ascii="Tahoma" w:eastAsia="Times" w:hAnsi="Tahoma" w:cs="Tahoma"/>
          <w:i/>
          <w:iCs/>
          <w:sz w:val="24"/>
          <w:szCs w:val="24"/>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017"/>
        <w:gridCol w:w="1102"/>
        <w:gridCol w:w="1018"/>
        <w:gridCol w:w="870"/>
        <w:gridCol w:w="15"/>
        <w:gridCol w:w="1003"/>
        <w:gridCol w:w="1022"/>
      </w:tblGrid>
      <w:tr w:rsidR="00D52EA2" w:rsidRPr="005D3F1F" w:rsidTr="00D52EA2">
        <w:trPr>
          <w:jc w:val="center"/>
        </w:trPr>
        <w:tc>
          <w:tcPr>
            <w:tcW w:w="4030" w:type="dxa"/>
            <w:shd w:val="clear" w:color="auto" w:fill="auto"/>
          </w:tcPr>
          <w:p w:rsidR="00D52EA2" w:rsidRPr="005D3F1F" w:rsidRDefault="00D52EA2" w:rsidP="00740778">
            <w:pPr>
              <w:spacing w:after="0"/>
              <w:jc w:val="both"/>
              <w:rPr>
                <w:rFonts w:ascii="Tahoma" w:eastAsia="Times" w:hAnsi="Tahoma" w:cs="Tahoma"/>
                <w:sz w:val="20"/>
                <w:szCs w:val="20"/>
              </w:rPr>
            </w:pPr>
          </w:p>
        </w:tc>
        <w:tc>
          <w:tcPr>
            <w:tcW w:w="2119" w:type="dxa"/>
            <w:gridSpan w:val="2"/>
            <w:shd w:val="clear" w:color="auto" w:fill="auto"/>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“Me gusta”</w:t>
            </w:r>
          </w:p>
        </w:tc>
        <w:tc>
          <w:tcPr>
            <w:tcW w:w="1903" w:type="dxa"/>
            <w:gridSpan w:val="3"/>
          </w:tcPr>
          <w:p w:rsidR="00D52EA2" w:rsidRPr="005D3F1F" w:rsidRDefault="00D52EA2" w:rsidP="00740778">
            <w:pPr>
              <w:spacing w:after="0"/>
              <w:rPr>
                <w:rFonts w:ascii="Tahoma" w:eastAsia="Times" w:hAnsi="Tahoma" w:cs="Tahoma"/>
                <w:i/>
                <w:iCs/>
                <w:sz w:val="20"/>
                <w:szCs w:val="20"/>
              </w:rPr>
            </w:pPr>
            <w:r w:rsidRPr="005D3F1F">
              <w:rPr>
                <w:rFonts w:ascii="Tahoma" w:eastAsia="Times" w:hAnsi="Tahoma" w:cs="Tahoma"/>
                <w:i/>
                <w:iCs/>
                <w:sz w:val="20"/>
                <w:szCs w:val="20"/>
              </w:rPr>
              <w:t>“</w:t>
            </w:r>
            <w:proofErr w:type="spellStart"/>
            <w:r w:rsidRPr="005D3F1F">
              <w:rPr>
                <w:rFonts w:ascii="Tahoma" w:eastAsia="Times" w:hAnsi="Tahoma" w:cs="Tahoma"/>
                <w:i/>
                <w:iCs/>
                <w:sz w:val="20"/>
                <w:szCs w:val="20"/>
              </w:rPr>
              <w:t>Retweet</w:t>
            </w:r>
            <w:proofErr w:type="spellEnd"/>
            <w:r w:rsidRPr="005D3F1F">
              <w:rPr>
                <w:rFonts w:ascii="Tahoma" w:eastAsia="Times" w:hAnsi="Tahoma" w:cs="Tahoma"/>
                <w:i/>
                <w:iCs/>
                <w:sz w:val="20"/>
                <w:szCs w:val="20"/>
              </w:rPr>
              <w:t>”</w:t>
            </w:r>
          </w:p>
        </w:tc>
        <w:tc>
          <w:tcPr>
            <w:tcW w:w="2025" w:type="dxa"/>
            <w:gridSpan w:val="2"/>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“Comentar”</w:t>
            </w:r>
          </w:p>
        </w:tc>
      </w:tr>
      <w:tr w:rsidR="00D52EA2" w:rsidRPr="005D3F1F" w:rsidTr="00D52EA2">
        <w:trPr>
          <w:jc w:val="center"/>
        </w:trPr>
        <w:tc>
          <w:tcPr>
            <w:tcW w:w="4030" w:type="dxa"/>
            <w:shd w:val="clear" w:color="auto" w:fill="auto"/>
          </w:tcPr>
          <w:p w:rsidR="00D52EA2" w:rsidRPr="005D3F1F" w:rsidRDefault="00D52EA2" w:rsidP="00740778">
            <w:pPr>
              <w:spacing w:after="0"/>
              <w:jc w:val="both"/>
              <w:rPr>
                <w:rFonts w:ascii="Tahoma" w:eastAsia="Times" w:hAnsi="Tahoma" w:cs="Tahoma"/>
                <w:sz w:val="20"/>
                <w:szCs w:val="20"/>
              </w:rPr>
            </w:pPr>
          </w:p>
        </w:tc>
        <w:tc>
          <w:tcPr>
            <w:tcW w:w="1017" w:type="dxa"/>
            <w:shd w:val="clear" w:color="auto" w:fill="auto"/>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TW</w:t>
            </w:r>
          </w:p>
        </w:tc>
        <w:tc>
          <w:tcPr>
            <w:tcW w:w="1102" w:type="dxa"/>
            <w:shd w:val="clear" w:color="auto" w:fill="8EAADB"/>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INST</w:t>
            </w:r>
          </w:p>
        </w:tc>
        <w:tc>
          <w:tcPr>
            <w:tcW w:w="1018" w:type="dxa"/>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TW</w:t>
            </w:r>
          </w:p>
        </w:tc>
        <w:tc>
          <w:tcPr>
            <w:tcW w:w="870" w:type="dxa"/>
            <w:shd w:val="clear" w:color="auto" w:fill="8EAADB"/>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INST</w:t>
            </w:r>
          </w:p>
        </w:tc>
        <w:tc>
          <w:tcPr>
            <w:tcW w:w="1018" w:type="dxa"/>
            <w:gridSpan w:val="2"/>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TW</w:t>
            </w:r>
          </w:p>
        </w:tc>
        <w:tc>
          <w:tcPr>
            <w:tcW w:w="1022" w:type="dxa"/>
            <w:shd w:val="clear" w:color="auto" w:fill="8EAADB"/>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INST</w:t>
            </w:r>
          </w:p>
        </w:tc>
      </w:tr>
      <w:tr w:rsidR="00D52EA2" w:rsidRPr="005D3F1F" w:rsidTr="00D52EA2">
        <w:trPr>
          <w:jc w:val="center"/>
        </w:trPr>
        <w:tc>
          <w:tcPr>
            <w:tcW w:w="4030" w:type="dxa"/>
            <w:shd w:val="clear" w:color="auto" w:fill="auto"/>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TOTAL PUBLICACIONES (000)</w:t>
            </w:r>
          </w:p>
        </w:tc>
        <w:tc>
          <w:tcPr>
            <w:tcW w:w="1017" w:type="dxa"/>
            <w:shd w:val="clear" w:color="auto" w:fill="auto"/>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1.558</w:t>
            </w:r>
          </w:p>
        </w:tc>
        <w:tc>
          <w:tcPr>
            <w:tcW w:w="1102" w:type="dxa"/>
            <w:shd w:val="clear" w:color="auto" w:fill="8EAADB"/>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38.243,6</w:t>
            </w:r>
          </w:p>
        </w:tc>
        <w:tc>
          <w:tcPr>
            <w:tcW w:w="1018" w:type="dxa"/>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361,25</w:t>
            </w:r>
          </w:p>
        </w:tc>
        <w:tc>
          <w:tcPr>
            <w:tcW w:w="870" w:type="dxa"/>
            <w:shd w:val="clear" w:color="auto" w:fill="8EAADB"/>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w:t>
            </w:r>
          </w:p>
        </w:tc>
        <w:tc>
          <w:tcPr>
            <w:tcW w:w="1018" w:type="dxa"/>
            <w:gridSpan w:val="2"/>
          </w:tcPr>
          <w:p w:rsidR="00D52EA2" w:rsidRPr="005D3F1F" w:rsidRDefault="00D52EA2" w:rsidP="00740778">
            <w:pPr>
              <w:spacing w:after="0"/>
              <w:rPr>
                <w:rFonts w:ascii="Tahoma" w:eastAsia="Times" w:hAnsi="Tahoma" w:cs="Tahoma"/>
                <w:sz w:val="20"/>
                <w:szCs w:val="20"/>
              </w:rPr>
            </w:pPr>
            <w:r w:rsidRPr="005D3F1F">
              <w:rPr>
                <w:rFonts w:ascii="Tahoma" w:eastAsia="Times" w:hAnsi="Tahoma" w:cs="Tahoma"/>
                <w:sz w:val="20"/>
                <w:szCs w:val="20"/>
              </w:rPr>
              <w:t>65,33</w:t>
            </w:r>
          </w:p>
        </w:tc>
        <w:tc>
          <w:tcPr>
            <w:tcW w:w="1022" w:type="dxa"/>
            <w:shd w:val="clear" w:color="auto" w:fill="8EAADB"/>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659,6</w:t>
            </w:r>
          </w:p>
        </w:tc>
      </w:tr>
      <w:tr w:rsidR="00D52EA2" w:rsidRPr="005D3F1F" w:rsidTr="00D52EA2">
        <w:trPr>
          <w:jc w:val="center"/>
        </w:trPr>
        <w:tc>
          <w:tcPr>
            <w:tcW w:w="10077" w:type="dxa"/>
            <w:gridSpan w:val="8"/>
            <w:shd w:val="clear" w:color="auto" w:fill="auto"/>
          </w:tcPr>
          <w:p w:rsidR="00D52EA2" w:rsidRPr="005D3F1F" w:rsidRDefault="00D52EA2" w:rsidP="00740778">
            <w:pPr>
              <w:spacing w:after="0"/>
              <w:jc w:val="both"/>
              <w:rPr>
                <w:rFonts w:ascii="Tahoma" w:eastAsia="Times" w:hAnsi="Tahoma" w:cs="Tahoma"/>
                <w:b/>
                <w:bCs/>
                <w:sz w:val="20"/>
                <w:szCs w:val="20"/>
              </w:rPr>
            </w:pPr>
            <w:r w:rsidRPr="005D3F1F">
              <w:rPr>
                <w:rFonts w:ascii="Tahoma" w:eastAsia="Times" w:hAnsi="Tahoma" w:cs="Tahoma"/>
                <w:b/>
                <w:bCs/>
                <w:sz w:val="20"/>
                <w:szCs w:val="20"/>
              </w:rPr>
              <w:t>TIPOLOGÍA CONTENIDO (% sobre el total)</w:t>
            </w:r>
          </w:p>
        </w:tc>
      </w:tr>
      <w:tr w:rsidR="00D52EA2" w:rsidRPr="005D3F1F" w:rsidTr="00D52EA2">
        <w:trPr>
          <w:jc w:val="center"/>
        </w:trPr>
        <w:tc>
          <w:tcPr>
            <w:tcW w:w="4030" w:type="dxa"/>
            <w:tcBorders>
              <w:bottom w:val="single" w:sz="4" w:space="0" w:color="auto"/>
            </w:tcBorders>
            <w:shd w:val="clear" w:color="auto" w:fill="auto"/>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 xml:space="preserve">Publicaciones sobre series </w:t>
            </w:r>
          </w:p>
        </w:tc>
        <w:tc>
          <w:tcPr>
            <w:tcW w:w="1017" w:type="dxa"/>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79,4%</w:t>
            </w:r>
          </w:p>
        </w:tc>
        <w:tc>
          <w:tcPr>
            <w:tcW w:w="1102"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96,5%</w:t>
            </w:r>
          </w:p>
        </w:tc>
        <w:tc>
          <w:tcPr>
            <w:tcW w:w="1018" w:type="dxa"/>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84,5%</w:t>
            </w:r>
          </w:p>
        </w:tc>
        <w:tc>
          <w:tcPr>
            <w:tcW w:w="870"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w:t>
            </w:r>
          </w:p>
        </w:tc>
        <w:tc>
          <w:tcPr>
            <w:tcW w:w="1018" w:type="dxa"/>
            <w:gridSpan w:val="2"/>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45,6%</w:t>
            </w:r>
          </w:p>
        </w:tc>
        <w:tc>
          <w:tcPr>
            <w:tcW w:w="1022"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jc w:val="both"/>
              <w:rPr>
                <w:rFonts w:ascii="Tahoma" w:eastAsia="Times" w:hAnsi="Tahoma" w:cs="Tahoma"/>
                <w:sz w:val="20"/>
                <w:szCs w:val="20"/>
              </w:rPr>
            </w:pPr>
            <w:r w:rsidRPr="005D3F1F">
              <w:rPr>
                <w:rFonts w:ascii="Tahoma" w:hAnsi="Tahoma" w:cs="Tahoma"/>
                <w:sz w:val="20"/>
                <w:szCs w:val="20"/>
              </w:rPr>
              <w:t>86,2%</w:t>
            </w:r>
          </w:p>
        </w:tc>
      </w:tr>
      <w:tr w:rsidR="00D52EA2" w:rsidRPr="005D3F1F" w:rsidTr="00D52EA2">
        <w:trPr>
          <w:jc w:val="center"/>
        </w:trPr>
        <w:tc>
          <w:tcPr>
            <w:tcW w:w="4030" w:type="dxa"/>
            <w:tcBorders>
              <w:top w:val="single" w:sz="4" w:space="0" w:color="auto"/>
              <w:bottom w:val="dashSmallGap" w:sz="4" w:space="0" w:color="auto"/>
            </w:tcBorders>
            <w:shd w:val="clear" w:color="auto" w:fill="auto"/>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…sobre series originales</w:t>
            </w:r>
          </w:p>
        </w:tc>
        <w:tc>
          <w:tcPr>
            <w:tcW w:w="1017" w:type="dxa"/>
            <w:tcBorders>
              <w:top w:val="single" w:sz="4" w:space="0" w:color="auto"/>
              <w:left w:val="nil"/>
              <w:bottom w:val="dashed"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71,4%</w:t>
            </w:r>
          </w:p>
        </w:tc>
        <w:tc>
          <w:tcPr>
            <w:tcW w:w="1102" w:type="dxa"/>
            <w:tcBorders>
              <w:top w:val="single" w:sz="4" w:space="0" w:color="auto"/>
              <w:left w:val="nil"/>
              <w:bottom w:val="dashed"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93,9%</w:t>
            </w:r>
          </w:p>
        </w:tc>
        <w:tc>
          <w:tcPr>
            <w:tcW w:w="1018" w:type="dxa"/>
            <w:tcBorders>
              <w:top w:val="single" w:sz="4" w:space="0" w:color="auto"/>
              <w:left w:val="nil"/>
              <w:bottom w:val="dashed"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78,5%</w:t>
            </w:r>
          </w:p>
        </w:tc>
        <w:tc>
          <w:tcPr>
            <w:tcW w:w="870" w:type="dxa"/>
            <w:tcBorders>
              <w:top w:val="single" w:sz="4" w:space="0" w:color="auto"/>
              <w:left w:val="nil"/>
              <w:bottom w:val="dashed"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w:t>
            </w:r>
          </w:p>
        </w:tc>
        <w:tc>
          <w:tcPr>
            <w:tcW w:w="1018" w:type="dxa"/>
            <w:gridSpan w:val="2"/>
            <w:tcBorders>
              <w:top w:val="single" w:sz="4" w:space="0" w:color="auto"/>
              <w:left w:val="nil"/>
              <w:bottom w:val="dashed"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39,5%</w:t>
            </w:r>
          </w:p>
        </w:tc>
        <w:tc>
          <w:tcPr>
            <w:tcW w:w="1022" w:type="dxa"/>
            <w:tcBorders>
              <w:top w:val="single" w:sz="4" w:space="0" w:color="auto"/>
              <w:left w:val="nil"/>
              <w:bottom w:val="dashed" w:sz="4" w:space="0" w:color="auto"/>
              <w:right w:val="single" w:sz="4" w:space="0" w:color="auto"/>
            </w:tcBorders>
            <w:shd w:val="clear" w:color="000000" w:fill="8EAADB"/>
            <w:vAlign w:val="center"/>
          </w:tcPr>
          <w:p w:rsidR="00D52EA2" w:rsidRPr="005D3F1F" w:rsidRDefault="00D52EA2" w:rsidP="00740778">
            <w:pPr>
              <w:spacing w:after="0"/>
              <w:jc w:val="both"/>
              <w:rPr>
                <w:rFonts w:ascii="Tahoma" w:eastAsia="Times" w:hAnsi="Tahoma" w:cs="Tahoma"/>
                <w:sz w:val="20"/>
                <w:szCs w:val="20"/>
              </w:rPr>
            </w:pPr>
            <w:r w:rsidRPr="005D3F1F">
              <w:rPr>
                <w:rFonts w:ascii="Tahoma" w:hAnsi="Tahoma" w:cs="Tahoma"/>
                <w:sz w:val="20"/>
                <w:szCs w:val="20"/>
              </w:rPr>
              <w:t>80,3%</w:t>
            </w:r>
          </w:p>
        </w:tc>
      </w:tr>
      <w:tr w:rsidR="00D52EA2" w:rsidRPr="005D3F1F" w:rsidTr="00D52EA2">
        <w:trPr>
          <w:jc w:val="center"/>
        </w:trPr>
        <w:tc>
          <w:tcPr>
            <w:tcW w:w="4030" w:type="dxa"/>
            <w:tcBorders>
              <w:top w:val="dashSmallGap" w:sz="4" w:space="0" w:color="auto"/>
              <w:bottom w:val="single" w:sz="4" w:space="0" w:color="auto"/>
            </w:tcBorders>
            <w:shd w:val="clear" w:color="auto" w:fill="auto"/>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…sobre series no originales</w:t>
            </w:r>
          </w:p>
        </w:tc>
        <w:tc>
          <w:tcPr>
            <w:tcW w:w="1017" w:type="dxa"/>
            <w:tcBorders>
              <w:top w:val="nil"/>
              <w:left w:val="nil"/>
              <w:bottom w:val="single" w:sz="4" w:space="0" w:color="auto"/>
              <w:right w:val="single" w:sz="4" w:space="0" w:color="auto"/>
            </w:tcBorders>
            <w:shd w:val="clear" w:color="000000" w:fill="D9D9D9"/>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144,1%</w:t>
            </w:r>
          </w:p>
        </w:tc>
        <w:tc>
          <w:tcPr>
            <w:tcW w:w="1102" w:type="dxa"/>
            <w:tcBorders>
              <w:top w:val="nil"/>
              <w:left w:val="nil"/>
              <w:bottom w:val="single" w:sz="4" w:space="0" w:color="auto"/>
              <w:right w:val="single" w:sz="4" w:space="0" w:color="auto"/>
            </w:tcBorders>
            <w:shd w:val="clear" w:color="000000" w:fill="1F3864"/>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176,8%</w:t>
            </w:r>
          </w:p>
        </w:tc>
        <w:tc>
          <w:tcPr>
            <w:tcW w:w="1018" w:type="dxa"/>
            <w:tcBorders>
              <w:top w:val="nil"/>
              <w:left w:val="nil"/>
              <w:bottom w:val="single" w:sz="4" w:space="0" w:color="auto"/>
              <w:right w:val="single" w:sz="4" w:space="0" w:color="auto"/>
            </w:tcBorders>
            <w:shd w:val="clear" w:color="000000" w:fill="D9D9D9"/>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133,1%</w:t>
            </w:r>
          </w:p>
        </w:tc>
        <w:tc>
          <w:tcPr>
            <w:tcW w:w="870"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w:t>
            </w:r>
          </w:p>
        </w:tc>
        <w:tc>
          <w:tcPr>
            <w:tcW w:w="1018" w:type="dxa"/>
            <w:gridSpan w:val="2"/>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26,0%</w:t>
            </w:r>
          </w:p>
        </w:tc>
        <w:tc>
          <w:tcPr>
            <w:tcW w:w="1022" w:type="dxa"/>
            <w:tcBorders>
              <w:top w:val="nil"/>
              <w:left w:val="nil"/>
              <w:bottom w:val="single" w:sz="4" w:space="0" w:color="auto"/>
              <w:right w:val="single" w:sz="4" w:space="0" w:color="auto"/>
            </w:tcBorders>
            <w:shd w:val="clear" w:color="000000" w:fill="1F3864"/>
            <w:vAlign w:val="center"/>
          </w:tcPr>
          <w:p w:rsidR="00D52EA2" w:rsidRPr="005D3F1F" w:rsidRDefault="00D52EA2" w:rsidP="00740778">
            <w:pPr>
              <w:spacing w:after="0"/>
              <w:jc w:val="both"/>
              <w:rPr>
                <w:rFonts w:ascii="Tahoma" w:eastAsia="Times" w:hAnsi="Tahoma" w:cs="Tahoma"/>
                <w:sz w:val="20"/>
                <w:szCs w:val="20"/>
              </w:rPr>
            </w:pPr>
            <w:r w:rsidRPr="005D3F1F">
              <w:rPr>
                <w:rFonts w:ascii="Tahoma" w:hAnsi="Tahoma" w:cs="Tahoma"/>
                <w:sz w:val="20"/>
                <w:szCs w:val="20"/>
              </w:rPr>
              <w:t>266,2%</w:t>
            </w:r>
          </w:p>
        </w:tc>
      </w:tr>
      <w:tr w:rsidR="00D52EA2" w:rsidRPr="005D3F1F" w:rsidTr="00D52EA2">
        <w:trPr>
          <w:jc w:val="center"/>
        </w:trPr>
        <w:tc>
          <w:tcPr>
            <w:tcW w:w="4030" w:type="dxa"/>
            <w:tcBorders>
              <w:top w:val="single" w:sz="4" w:space="0" w:color="auto"/>
            </w:tcBorders>
            <w:shd w:val="clear" w:color="auto" w:fill="auto"/>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Publicaciones sobre otros (no series)</w:t>
            </w:r>
          </w:p>
        </w:tc>
        <w:tc>
          <w:tcPr>
            <w:tcW w:w="1017" w:type="dxa"/>
            <w:tcBorders>
              <w:top w:val="single" w:sz="4" w:space="0" w:color="auto"/>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125,3%</w:t>
            </w:r>
          </w:p>
        </w:tc>
        <w:tc>
          <w:tcPr>
            <w:tcW w:w="1102" w:type="dxa"/>
            <w:tcBorders>
              <w:top w:val="single" w:sz="4" w:space="0" w:color="auto"/>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106,0%</w:t>
            </w:r>
          </w:p>
        </w:tc>
        <w:tc>
          <w:tcPr>
            <w:tcW w:w="1018" w:type="dxa"/>
            <w:tcBorders>
              <w:top w:val="single" w:sz="4" w:space="0" w:color="auto"/>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119,0%</w:t>
            </w:r>
          </w:p>
        </w:tc>
        <w:tc>
          <w:tcPr>
            <w:tcW w:w="870" w:type="dxa"/>
            <w:tcBorders>
              <w:top w:val="single" w:sz="4" w:space="0" w:color="auto"/>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w:t>
            </w:r>
          </w:p>
        </w:tc>
        <w:tc>
          <w:tcPr>
            <w:tcW w:w="1018" w:type="dxa"/>
            <w:gridSpan w:val="2"/>
            <w:tcBorders>
              <w:top w:val="single" w:sz="4" w:space="0" w:color="auto"/>
              <w:left w:val="nil"/>
              <w:bottom w:val="single" w:sz="4" w:space="0" w:color="auto"/>
              <w:right w:val="single" w:sz="4" w:space="0" w:color="auto"/>
            </w:tcBorders>
            <w:shd w:val="clear" w:color="000000" w:fill="FF9999"/>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175,7%</w:t>
            </w:r>
          </w:p>
        </w:tc>
        <w:tc>
          <w:tcPr>
            <w:tcW w:w="1022" w:type="dxa"/>
            <w:tcBorders>
              <w:top w:val="single" w:sz="4" w:space="0" w:color="auto"/>
              <w:left w:val="nil"/>
              <w:bottom w:val="single" w:sz="4" w:space="0" w:color="auto"/>
              <w:right w:val="single" w:sz="4" w:space="0" w:color="auto"/>
            </w:tcBorders>
            <w:shd w:val="clear" w:color="000000" w:fill="8EAADB"/>
            <w:vAlign w:val="center"/>
          </w:tcPr>
          <w:p w:rsidR="00D52EA2" w:rsidRPr="005D3F1F" w:rsidRDefault="00D52EA2" w:rsidP="00740778">
            <w:pPr>
              <w:spacing w:after="0"/>
              <w:jc w:val="both"/>
              <w:rPr>
                <w:rFonts w:ascii="Tahoma" w:eastAsia="Times" w:hAnsi="Tahoma" w:cs="Tahoma"/>
                <w:sz w:val="20"/>
                <w:szCs w:val="20"/>
              </w:rPr>
            </w:pPr>
            <w:r w:rsidRPr="005D3F1F">
              <w:rPr>
                <w:rFonts w:ascii="Tahoma" w:hAnsi="Tahoma" w:cs="Tahoma"/>
                <w:sz w:val="20"/>
                <w:szCs w:val="20"/>
              </w:rPr>
              <w:t>123,5%</w:t>
            </w:r>
          </w:p>
        </w:tc>
      </w:tr>
      <w:tr w:rsidR="00D52EA2" w:rsidRPr="005D3F1F" w:rsidTr="00D52EA2">
        <w:trPr>
          <w:jc w:val="center"/>
        </w:trPr>
        <w:tc>
          <w:tcPr>
            <w:tcW w:w="10077" w:type="dxa"/>
            <w:gridSpan w:val="8"/>
            <w:tcBorders>
              <w:top w:val="single" w:sz="4" w:space="0" w:color="auto"/>
              <w:right w:val="single" w:sz="4" w:space="0" w:color="auto"/>
            </w:tcBorders>
            <w:shd w:val="clear" w:color="auto" w:fill="auto"/>
          </w:tcPr>
          <w:p w:rsidR="00D52EA2" w:rsidRPr="005D3F1F" w:rsidRDefault="00D52EA2" w:rsidP="00740778">
            <w:pPr>
              <w:spacing w:after="0"/>
              <w:jc w:val="both"/>
              <w:rPr>
                <w:rFonts w:ascii="Tahoma" w:hAnsi="Tahoma" w:cs="Tahoma"/>
                <w:b/>
                <w:bCs/>
                <w:sz w:val="20"/>
                <w:szCs w:val="20"/>
              </w:rPr>
            </w:pPr>
            <w:r w:rsidRPr="005D3F1F">
              <w:rPr>
                <w:rFonts w:ascii="Tahoma" w:eastAsia="Times" w:hAnsi="Tahoma" w:cs="Tahoma"/>
                <w:b/>
                <w:bCs/>
                <w:sz w:val="20"/>
                <w:szCs w:val="20"/>
              </w:rPr>
              <w:t>TIPOLOGÍA FINALIDAD (% sobre el total)</w:t>
            </w:r>
          </w:p>
        </w:tc>
      </w:tr>
      <w:tr w:rsidR="00D52EA2" w:rsidRPr="005D3F1F" w:rsidTr="00D52EA2">
        <w:trPr>
          <w:jc w:val="center"/>
        </w:trPr>
        <w:tc>
          <w:tcPr>
            <w:tcW w:w="4030" w:type="dxa"/>
            <w:shd w:val="clear" w:color="auto" w:fill="auto"/>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Comercial</w:t>
            </w:r>
          </w:p>
        </w:tc>
        <w:tc>
          <w:tcPr>
            <w:tcW w:w="1017" w:type="dxa"/>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73,6%</w:t>
            </w:r>
          </w:p>
        </w:tc>
        <w:tc>
          <w:tcPr>
            <w:tcW w:w="1102"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3,4%</w:t>
            </w:r>
          </w:p>
        </w:tc>
        <w:tc>
          <w:tcPr>
            <w:tcW w:w="1018" w:type="dxa"/>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75,9%</w:t>
            </w:r>
          </w:p>
        </w:tc>
        <w:tc>
          <w:tcPr>
            <w:tcW w:w="870"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w:t>
            </w:r>
          </w:p>
        </w:tc>
        <w:tc>
          <w:tcPr>
            <w:tcW w:w="1018" w:type="dxa"/>
            <w:gridSpan w:val="2"/>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41,7%</w:t>
            </w:r>
          </w:p>
        </w:tc>
        <w:tc>
          <w:tcPr>
            <w:tcW w:w="1022"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jc w:val="both"/>
              <w:rPr>
                <w:rFonts w:ascii="Tahoma" w:eastAsia="Times" w:hAnsi="Tahoma" w:cs="Tahoma"/>
                <w:sz w:val="20"/>
                <w:szCs w:val="20"/>
              </w:rPr>
            </w:pPr>
            <w:r w:rsidRPr="005D3F1F">
              <w:rPr>
                <w:rFonts w:ascii="Tahoma" w:hAnsi="Tahoma" w:cs="Tahoma"/>
                <w:sz w:val="20"/>
                <w:szCs w:val="20"/>
              </w:rPr>
              <w:t>4,7%</w:t>
            </w:r>
          </w:p>
        </w:tc>
      </w:tr>
      <w:tr w:rsidR="00D52EA2" w:rsidRPr="005D3F1F" w:rsidTr="00D52EA2">
        <w:trPr>
          <w:jc w:val="center"/>
        </w:trPr>
        <w:tc>
          <w:tcPr>
            <w:tcW w:w="4030" w:type="dxa"/>
            <w:shd w:val="clear" w:color="auto" w:fill="auto"/>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Participativa</w:t>
            </w:r>
          </w:p>
        </w:tc>
        <w:tc>
          <w:tcPr>
            <w:tcW w:w="1017" w:type="dxa"/>
            <w:tcBorders>
              <w:top w:val="nil"/>
              <w:left w:val="nil"/>
              <w:bottom w:val="single" w:sz="4" w:space="0" w:color="auto"/>
              <w:right w:val="single" w:sz="4" w:space="0" w:color="auto"/>
            </w:tcBorders>
            <w:shd w:val="clear" w:color="000000" w:fill="D9D9D9"/>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241,8%</w:t>
            </w:r>
          </w:p>
        </w:tc>
        <w:tc>
          <w:tcPr>
            <w:tcW w:w="1102" w:type="dxa"/>
            <w:tcBorders>
              <w:top w:val="nil"/>
              <w:left w:val="nil"/>
              <w:bottom w:val="single" w:sz="4" w:space="0" w:color="auto"/>
              <w:right w:val="single" w:sz="4" w:space="0" w:color="auto"/>
            </w:tcBorders>
            <w:shd w:val="clear" w:color="000000" w:fill="1F3864"/>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141,9%</w:t>
            </w:r>
          </w:p>
        </w:tc>
        <w:tc>
          <w:tcPr>
            <w:tcW w:w="1018" w:type="dxa"/>
            <w:tcBorders>
              <w:top w:val="nil"/>
              <w:left w:val="nil"/>
              <w:bottom w:val="single" w:sz="4" w:space="0" w:color="auto"/>
              <w:right w:val="single" w:sz="4" w:space="0" w:color="auto"/>
            </w:tcBorders>
            <w:shd w:val="clear" w:color="000000" w:fill="D9D9D9"/>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227,7%</w:t>
            </w:r>
          </w:p>
        </w:tc>
        <w:tc>
          <w:tcPr>
            <w:tcW w:w="870"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w:t>
            </w:r>
          </w:p>
        </w:tc>
        <w:tc>
          <w:tcPr>
            <w:tcW w:w="1018" w:type="dxa"/>
            <w:gridSpan w:val="2"/>
            <w:tcBorders>
              <w:top w:val="nil"/>
              <w:left w:val="nil"/>
              <w:bottom w:val="single" w:sz="4" w:space="0" w:color="auto"/>
              <w:right w:val="single" w:sz="4" w:space="0" w:color="auto"/>
            </w:tcBorders>
            <w:shd w:val="clear" w:color="000000" w:fill="D9D9D9"/>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426,5%</w:t>
            </w:r>
          </w:p>
        </w:tc>
        <w:tc>
          <w:tcPr>
            <w:tcW w:w="1022" w:type="dxa"/>
            <w:tcBorders>
              <w:top w:val="nil"/>
              <w:left w:val="nil"/>
              <w:bottom w:val="single" w:sz="4" w:space="0" w:color="auto"/>
              <w:right w:val="single" w:sz="4" w:space="0" w:color="auto"/>
            </w:tcBorders>
            <w:shd w:val="clear" w:color="000000" w:fill="1F3864"/>
            <w:vAlign w:val="center"/>
          </w:tcPr>
          <w:p w:rsidR="00D52EA2" w:rsidRPr="005D3F1F" w:rsidRDefault="00D52EA2" w:rsidP="00740778">
            <w:pPr>
              <w:spacing w:after="0"/>
              <w:jc w:val="both"/>
              <w:rPr>
                <w:rFonts w:ascii="Tahoma" w:eastAsia="Times" w:hAnsi="Tahoma" w:cs="Tahoma"/>
                <w:sz w:val="20"/>
                <w:szCs w:val="20"/>
              </w:rPr>
            </w:pPr>
            <w:r w:rsidRPr="005D3F1F">
              <w:rPr>
                <w:rFonts w:ascii="Tahoma" w:hAnsi="Tahoma" w:cs="Tahoma"/>
                <w:sz w:val="20"/>
                <w:szCs w:val="20"/>
              </w:rPr>
              <w:t>72,9%</w:t>
            </w:r>
          </w:p>
        </w:tc>
      </w:tr>
      <w:tr w:rsidR="00D52EA2" w:rsidRPr="005D3F1F" w:rsidTr="00D52EA2">
        <w:trPr>
          <w:trHeight w:val="64"/>
          <w:jc w:val="center"/>
        </w:trPr>
        <w:tc>
          <w:tcPr>
            <w:tcW w:w="4030" w:type="dxa"/>
            <w:shd w:val="clear" w:color="auto" w:fill="auto"/>
          </w:tcPr>
          <w:p w:rsidR="00D52EA2" w:rsidRPr="005D3F1F" w:rsidRDefault="00D52EA2" w:rsidP="00740778">
            <w:pPr>
              <w:spacing w:after="0"/>
              <w:jc w:val="both"/>
              <w:rPr>
                <w:rFonts w:ascii="Tahoma" w:eastAsia="Times" w:hAnsi="Tahoma" w:cs="Tahoma"/>
                <w:sz w:val="20"/>
                <w:szCs w:val="20"/>
              </w:rPr>
            </w:pPr>
            <w:r w:rsidRPr="005D3F1F">
              <w:rPr>
                <w:rFonts w:ascii="Tahoma" w:eastAsia="Times" w:hAnsi="Tahoma" w:cs="Tahoma"/>
                <w:sz w:val="20"/>
                <w:szCs w:val="20"/>
              </w:rPr>
              <w:t>Otros</w:t>
            </w:r>
          </w:p>
        </w:tc>
        <w:tc>
          <w:tcPr>
            <w:tcW w:w="1017" w:type="dxa"/>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115,5%</w:t>
            </w:r>
          </w:p>
        </w:tc>
        <w:tc>
          <w:tcPr>
            <w:tcW w:w="1102"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1,8%</w:t>
            </w:r>
          </w:p>
        </w:tc>
        <w:tc>
          <w:tcPr>
            <w:tcW w:w="1018" w:type="dxa"/>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119,2%</w:t>
            </w:r>
          </w:p>
        </w:tc>
        <w:tc>
          <w:tcPr>
            <w:tcW w:w="870"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w:t>
            </w:r>
          </w:p>
        </w:tc>
        <w:tc>
          <w:tcPr>
            <w:tcW w:w="1018" w:type="dxa"/>
            <w:gridSpan w:val="2"/>
            <w:tcBorders>
              <w:top w:val="nil"/>
              <w:left w:val="nil"/>
              <w:bottom w:val="single" w:sz="4" w:space="0" w:color="auto"/>
              <w:right w:val="single" w:sz="4" w:space="0" w:color="auto"/>
            </w:tcBorders>
            <w:shd w:val="clear" w:color="auto" w:fill="auto"/>
            <w:vAlign w:val="center"/>
          </w:tcPr>
          <w:p w:rsidR="00D52EA2" w:rsidRPr="005D3F1F" w:rsidRDefault="00D52EA2" w:rsidP="00740778">
            <w:pPr>
              <w:spacing w:after="0"/>
              <w:rPr>
                <w:rFonts w:ascii="Tahoma" w:eastAsia="Times" w:hAnsi="Tahoma" w:cs="Tahoma"/>
                <w:sz w:val="20"/>
                <w:szCs w:val="20"/>
              </w:rPr>
            </w:pPr>
            <w:r w:rsidRPr="005D3F1F">
              <w:rPr>
                <w:rFonts w:ascii="Tahoma" w:hAnsi="Tahoma" w:cs="Tahoma"/>
                <w:sz w:val="20"/>
                <w:szCs w:val="20"/>
              </w:rPr>
              <w:t>60,7%</w:t>
            </w:r>
          </w:p>
        </w:tc>
        <w:tc>
          <w:tcPr>
            <w:tcW w:w="1022" w:type="dxa"/>
            <w:tcBorders>
              <w:top w:val="nil"/>
              <w:left w:val="nil"/>
              <w:bottom w:val="single" w:sz="4" w:space="0" w:color="auto"/>
              <w:right w:val="single" w:sz="4" w:space="0" w:color="auto"/>
            </w:tcBorders>
            <w:shd w:val="clear" w:color="000000" w:fill="8EAADB"/>
            <w:vAlign w:val="center"/>
          </w:tcPr>
          <w:p w:rsidR="00D52EA2" w:rsidRPr="005D3F1F" w:rsidRDefault="00D52EA2" w:rsidP="00740778">
            <w:pPr>
              <w:spacing w:after="0"/>
              <w:jc w:val="both"/>
              <w:rPr>
                <w:rFonts w:ascii="Tahoma" w:eastAsia="Times" w:hAnsi="Tahoma" w:cs="Tahoma"/>
                <w:sz w:val="20"/>
                <w:szCs w:val="20"/>
              </w:rPr>
            </w:pPr>
            <w:r w:rsidRPr="005D3F1F">
              <w:rPr>
                <w:rFonts w:ascii="Tahoma" w:hAnsi="Tahoma" w:cs="Tahoma"/>
                <w:sz w:val="20"/>
                <w:szCs w:val="20"/>
              </w:rPr>
              <w:t>2,3%</w:t>
            </w:r>
          </w:p>
        </w:tc>
      </w:tr>
    </w:tbl>
    <w:p w:rsidR="005D3F1F" w:rsidRDefault="005D3F1F" w:rsidP="00740778">
      <w:pPr>
        <w:spacing w:after="0"/>
        <w:rPr>
          <w:rFonts w:ascii="Tahoma" w:eastAsia="Times" w:hAnsi="Tahoma" w:cs="Tahoma"/>
          <w:b/>
          <w:bCs/>
          <w:sz w:val="24"/>
          <w:szCs w:val="24"/>
        </w:rPr>
      </w:pPr>
    </w:p>
    <w:p w:rsidR="00D52EA2" w:rsidRDefault="00D52EA2" w:rsidP="00740778">
      <w:pPr>
        <w:spacing w:after="0"/>
        <w:rPr>
          <w:rFonts w:ascii="Tahoma" w:eastAsia="Times" w:hAnsi="Tahoma" w:cs="Tahoma"/>
          <w:sz w:val="24"/>
          <w:szCs w:val="24"/>
        </w:rPr>
      </w:pPr>
      <w:r w:rsidRPr="00F21E9C">
        <w:rPr>
          <w:rFonts w:ascii="Tahoma" w:eastAsia="Times" w:hAnsi="Tahoma" w:cs="Tahoma"/>
          <w:b/>
          <w:bCs/>
          <w:sz w:val="24"/>
          <w:szCs w:val="24"/>
        </w:rPr>
        <w:t>Fuente:</w:t>
      </w:r>
      <w:r w:rsidRPr="00F21E9C">
        <w:rPr>
          <w:rFonts w:ascii="Tahoma" w:eastAsia="Times" w:hAnsi="Tahoma" w:cs="Tahoma"/>
          <w:sz w:val="24"/>
          <w:szCs w:val="24"/>
        </w:rPr>
        <w:t xml:space="preserve"> Elaboración propia.</w:t>
      </w:r>
    </w:p>
    <w:p w:rsidR="007E7893" w:rsidRDefault="007E7893" w:rsidP="00740778">
      <w:pPr>
        <w:spacing w:after="0"/>
        <w:ind w:firstLine="284"/>
        <w:jc w:val="both"/>
        <w:rPr>
          <w:rFonts w:ascii="Tahoma" w:eastAsia="Times" w:hAnsi="Tahoma" w:cs="Tahoma"/>
          <w:sz w:val="24"/>
          <w:szCs w:val="24"/>
        </w:rPr>
      </w:pPr>
    </w:p>
    <w:p w:rsidR="00D52EA2"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Los datos expuestos en la tabla 4 muestran que los</w:t>
      </w:r>
      <w:r w:rsidRPr="00F21E9C">
        <w:rPr>
          <w:rFonts w:ascii="Tahoma" w:eastAsia="Times" w:hAnsi="Tahoma" w:cs="Tahoma"/>
          <w:i/>
          <w:iCs/>
          <w:sz w:val="24"/>
          <w:szCs w:val="24"/>
        </w:rPr>
        <w:t xml:space="preserve"> tweets</w:t>
      </w:r>
      <w:r w:rsidRPr="00F21E9C">
        <w:rPr>
          <w:rFonts w:ascii="Tahoma" w:eastAsia="Times" w:hAnsi="Tahoma" w:cs="Tahoma"/>
          <w:sz w:val="24"/>
          <w:szCs w:val="24"/>
        </w:rPr>
        <w:t xml:space="preserve"> sobre series no originales son los que logran los mejores promedios/publicación de “me gusta” y “</w:t>
      </w:r>
      <w:proofErr w:type="spellStart"/>
      <w:r w:rsidRPr="00F21E9C">
        <w:rPr>
          <w:rFonts w:ascii="Tahoma" w:eastAsia="Times" w:hAnsi="Tahoma" w:cs="Tahoma"/>
          <w:i/>
          <w:iCs/>
          <w:sz w:val="24"/>
          <w:szCs w:val="24"/>
        </w:rPr>
        <w:t>Retweet</w:t>
      </w:r>
      <w:proofErr w:type="spellEnd"/>
      <w:r w:rsidRPr="00F21E9C">
        <w:rPr>
          <w:rFonts w:ascii="Tahoma" w:eastAsia="Times" w:hAnsi="Tahoma" w:cs="Tahoma"/>
          <w:sz w:val="24"/>
          <w:szCs w:val="24"/>
        </w:rPr>
        <w:t xml:space="preserve">”, sin embargo, a nivel de “comentar” son los </w:t>
      </w:r>
      <w:r w:rsidRPr="00F21E9C">
        <w:rPr>
          <w:rFonts w:ascii="Tahoma" w:eastAsia="Times" w:hAnsi="Tahoma" w:cs="Tahoma"/>
          <w:i/>
          <w:iCs/>
          <w:sz w:val="24"/>
          <w:szCs w:val="24"/>
        </w:rPr>
        <w:t xml:space="preserve">tweets </w:t>
      </w:r>
      <w:r w:rsidRPr="00F21E9C">
        <w:rPr>
          <w:rFonts w:ascii="Tahoma" w:eastAsia="Times" w:hAnsi="Tahoma" w:cs="Tahoma"/>
          <w:sz w:val="24"/>
          <w:szCs w:val="24"/>
        </w:rPr>
        <w:t>sobre otros contenidos los que más interés despiertan (175,7%)). En este sentido, se mantiene lo observado en términos globales (Tabla 3) solo respecto de las opciones de interacción “comentar”, mientras que en lo relativo a “me gusta” y “</w:t>
      </w:r>
      <w:proofErr w:type="spellStart"/>
      <w:r w:rsidRPr="00F21E9C">
        <w:rPr>
          <w:rFonts w:ascii="Tahoma" w:eastAsia="Times" w:hAnsi="Tahoma" w:cs="Tahoma"/>
          <w:i/>
          <w:iCs/>
          <w:sz w:val="24"/>
          <w:szCs w:val="24"/>
        </w:rPr>
        <w:t>retweets</w:t>
      </w:r>
      <w:proofErr w:type="spellEnd"/>
      <w:r w:rsidRPr="00F21E9C">
        <w:rPr>
          <w:rFonts w:ascii="Tahoma" w:eastAsia="Times" w:hAnsi="Tahoma" w:cs="Tahoma"/>
          <w:sz w:val="24"/>
          <w:szCs w:val="24"/>
        </w:rPr>
        <w:t xml:space="preserve">” se confirma lo evidenciado por el índice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sz w:val="24"/>
          <w:szCs w:val="24"/>
        </w:rPr>
        <w:t>En esta línea se constata que la publicación con mayor número de comentarios es, precisamente, una publicación sobre otros contenidos de carácter participativo (Imagen 2).</w:t>
      </w:r>
    </w:p>
    <w:p w:rsidR="007E7893" w:rsidRDefault="007E7893" w:rsidP="00740778">
      <w:pPr>
        <w:spacing w:after="0"/>
        <w:ind w:firstLine="284"/>
        <w:jc w:val="both"/>
        <w:rPr>
          <w:rFonts w:ascii="Tahoma" w:eastAsia="Times" w:hAnsi="Tahoma" w:cs="Tahoma"/>
          <w:sz w:val="24"/>
          <w:szCs w:val="24"/>
        </w:rPr>
      </w:pPr>
    </w:p>
    <w:p w:rsidR="007E7893" w:rsidRDefault="007E7893" w:rsidP="00740778">
      <w:pPr>
        <w:spacing w:after="0"/>
        <w:ind w:firstLine="284"/>
        <w:jc w:val="both"/>
        <w:rPr>
          <w:rFonts w:ascii="Tahoma" w:eastAsia="Times" w:hAnsi="Tahoma" w:cs="Tahoma"/>
          <w:sz w:val="24"/>
          <w:szCs w:val="24"/>
        </w:rPr>
      </w:pPr>
    </w:p>
    <w:p w:rsidR="00C67928" w:rsidRDefault="007E7893" w:rsidP="00740778">
      <w:pPr>
        <w:spacing w:after="0"/>
        <w:rPr>
          <w:rFonts w:ascii="Tahoma" w:eastAsia="Times" w:hAnsi="Tahoma" w:cs="Tahoma"/>
          <w:b/>
          <w:bCs/>
          <w:sz w:val="24"/>
          <w:szCs w:val="24"/>
        </w:rPr>
      </w:pPr>
      <w:r>
        <w:rPr>
          <w:noProof/>
        </w:rPr>
        <w:pict>
          <v:shape id="Imagen 2" o:spid="_x0000_s1039" type="#_x0000_t75" style="position:absolute;left:0;text-align:left;margin-left:-33.4pt;margin-top:15.3pt;width:526.35pt;height:81.05pt;z-index:-251631616;visibility:visible;mso-position-horizontal-relative:text;mso-position-vertical-relative:text;mso-width-relative:page;mso-height-relative:page" wrapcoords="-41 0 -41 21333 21600 21333 21600 0 -41 0">
            <v:imagedata r:id="rId25" o:title=""/>
            <w10:wrap type="tight"/>
          </v:shape>
        </w:pict>
      </w:r>
    </w:p>
    <w:p w:rsidR="00467539" w:rsidRDefault="00467539" w:rsidP="00740778">
      <w:pPr>
        <w:spacing w:after="0"/>
        <w:rPr>
          <w:rFonts w:ascii="Tahoma" w:eastAsia="Times" w:hAnsi="Tahoma" w:cs="Tahoma"/>
          <w:b/>
          <w:bCs/>
          <w:sz w:val="24"/>
          <w:szCs w:val="24"/>
        </w:rPr>
      </w:pPr>
    </w:p>
    <w:p w:rsidR="00D52EA2" w:rsidRPr="00F21E9C" w:rsidRDefault="00D52EA2" w:rsidP="00740778">
      <w:pPr>
        <w:spacing w:after="0"/>
        <w:rPr>
          <w:rFonts w:ascii="Tahoma" w:eastAsia="Times" w:hAnsi="Tahoma" w:cs="Tahoma"/>
          <w:b/>
          <w:bCs/>
          <w:i/>
          <w:iCs/>
          <w:sz w:val="24"/>
          <w:szCs w:val="24"/>
        </w:rPr>
      </w:pPr>
      <w:r w:rsidRPr="00F21E9C">
        <w:rPr>
          <w:rFonts w:ascii="Tahoma" w:eastAsia="Times" w:hAnsi="Tahoma" w:cs="Tahoma"/>
          <w:b/>
          <w:bCs/>
          <w:sz w:val="24"/>
          <w:szCs w:val="24"/>
        </w:rPr>
        <w:t xml:space="preserve">Imagen 2. </w:t>
      </w:r>
      <w:r w:rsidRPr="00F21E9C">
        <w:rPr>
          <w:rFonts w:ascii="Tahoma" w:eastAsia="Times" w:hAnsi="Tahoma" w:cs="Tahoma"/>
          <w:i/>
          <w:iCs/>
          <w:sz w:val="24"/>
          <w:szCs w:val="24"/>
        </w:rPr>
        <w:t>Tweet con mayor nivel de interacción (“comentar”)</w:t>
      </w:r>
    </w:p>
    <w:p w:rsidR="00D52EA2" w:rsidRPr="00F21E9C" w:rsidRDefault="00D52EA2" w:rsidP="00740778">
      <w:pPr>
        <w:spacing w:after="0"/>
        <w:rPr>
          <w:rFonts w:ascii="Tahoma" w:eastAsia="Times" w:hAnsi="Tahoma" w:cs="Tahoma"/>
          <w:sz w:val="24"/>
          <w:szCs w:val="24"/>
        </w:rPr>
      </w:pPr>
      <w:r w:rsidRPr="00F21E9C">
        <w:rPr>
          <w:rFonts w:ascii="Tahoma" w:eastAsia="Times" w:hAnsi="Tahoma" w:cs="Tahoma"/>
          <w:b/>
          <w:bCs/>
          <w:sz w:val="24"/>
          <w:szCs w:val="24"/>
        </w:rPr>
        <w:t>Fuente</w:t>
      </w:r>
      <w:r w:rsidRPr="00F21E9C">
        <w:rPr>
          <w:rFonts w:ascii="Tahoma" w:eastAsia="Times" w:hAnsi="Tahoma" w:cs="Tahoma"/>
          <w:sz w:val="24"/>
          <w:szCs w:val="24"/>
        </w:rPr>
        <w:t>: @</w:t>
      </w:r>
      <w:proofErr w:type="spellStart"/>
      <w:r w:rsidRPr="00F21E9C">
        <w:rPr>
          <w:rFonts w:ascii="Tahoma" w:eastAsia="Times" w:hAnsi="Tahoma" w:cs="Tahoma"/>
          <w:sz w:val="24"/>
          <w:szCs w:val="24"/>
        </w:rPr>
        <w:t>NetflixES</w:t>
      </w:r>
      <w:proofErr w:type="spellEnd"/>
      <w:r w:rsidRPr="00F21E9C">
        <w:rPr>
          <w:rFonts w:ascii="Tahoma" w:eastAsia="Times" w:hAnsi="Tahoma" w:cs="Tahoma"/>
          <w:sz w:val="24"/>
          <w:szCs w:val="24"/>
        </w:rPr>
        <w:t>, Twitter (2019, 25 febrero)</w:t>
      </w:r>
    </w:p>
    <w:p w:rsidR="00D52EA2" w:rsidRPr="00F21E9C" w:rsidRDefault="00D52EA2" w:rsidP="00740778">
      <w:pPr>
        <w:spacing w:after="0"/>
        <w:ind w:left="360"/>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bCs/>
          <w:sz w:val="24"/>
          <w:szCs w:val="24"/>
          <w:lang w:val="es-ES_tradnl"/>
        </w:rPr>
      </w:pPr>
      <w:r w:rsidRPr="00F21E9C">
        <w:rPr>
          <w:rFonts w:ascii="Tahoma" w:eastAsia="Times" w:hAnsi="Tahoma" w:cs="Tahoma"/>
          <w:bCs/>
          <w:sz w:val="24"/>
          <w:szCs w:val="24"/>
          <w:lang w:val="es-ES_tradnl"/>
        </w:rPr>
        <w:t xml:space="preserve">Al respecto de la finalidad son, de nuevo, las publicaciones de carácter participativo, como la anterior (Imagen 2), las que logran el promedio más alto en las tres opciones de interacción, en línea con lo observado a nivel de “comentar” y del </w:t>
      </w:r>
      <w:proofErr w:type="spellStart"/>
      <w:r w:rsidRPr="00F21E9C">
        <w:rPr>
          <w:rFonts w:ascii="Tahoma" w:eastAsia="Times" w:hAnsi="Tahoma" w:cs="Tahoma"/>
          <w:bCs/>
          <w:i/>
          <w:iCs/>
          <w:sz w:val="24"/>
          <w:szCs w:val="24"/>
          <w:lang w:val="es-ES_tradnl"/>
        </w:rPr>
        <w:t>engagement</w:t>
      </w:r>
      <w:proofErr w:type="spellEnd"/>
      <w:r w:rsidRPr="00F21E9C">
        <w:rPr>
          <w:rFonts w:ascii="Tahoma" w:eastAsia="Times" w:hAnsi="Tahoma" w:cs="Tahoma"/>
          <w:bCs/>
          <w:i/>
          <w:iCs/>
          <w:sz w:val="24"/>
          <w:szCs w:val="24"/>
          <w:lang w:val="es-ES_tradnl"/>
        </w:rPr>
        <w:t xml:space="preserve"> online </w:t>
      </w:r>
      <w:r w:rsidRPr="00F21E9C">
        <w:rPr>
          <w:rFonts w:ascii="Tahoma" w:eastAsia="Times" w:hAnsi="Tahoma" w:cs="Tahoma"/>
          <w:bCs/>
          <w:sz w:val="24"/>
          <w:szCs w:val="24"/>
          <w:lang w:val="es-ES_tradnl"/>
        </w:rPr>
        <w:t xml:space="preserve">(Tabla 3). En Instagram se mantiene el liderazgo de las publicaciones sobre series, pero en este caso de producción ajena, confirmando lo observado a nivel de </w:t>
      </w:r>
      <w:proofErr w:type="spellStart"/>
      <w:r w:rsidRPr="00F21E9C">
        <w:rPr>
          <w:rFonts w:ascii="Tahoma" w:eastAsia="Times" w:hAnsi="Tahoma" w:cs="Tahoma"/>
          <w:bCs/>
          <w:i/>
          <w:iCs/>
          <w:sz w:val="24"/>
          <w:szCs w:val="24"/>
          <w:lang w:val="es-ES_tradnl"/>
        </w:rPr>
        <w:t>engagement</w:t>
      </w:r>
      <w:proofErr w:type="spellEnd"/>
      <w:r w:rsidRPr="00F21E9C">
        <w:rPr>
          <w:rFonts w:ascii="Tahoma" w:eastAsia="Times" w:hAnsi="Tahoma" w:cs="Tahoma"/>
          <w:bCs/>
          <w:i/>
          <w:iCs/>
          <w:sz w:val="24"/>
          <w:szCs w:val="24"/>
          <w:lang w:val="es-ES_tradnl"/>
        </w:rPr>
        <w:t xml:space="preserve"> online. </w:t>
      </w:r>
      <w:r w:rsidRPr="00F21E9C">
        <w:rPr>
          <w:rFonts w:ascii="Tahoma" w:eastAsia="Times" w:hAnsi="Tahoma" w:cs="Tahoma"/>
          <w:bCs/>
          <w:sz w:val="24"/>
          <w:szCs w:val="24"/>
          <w:lang w:val="es-ES_tradnl"/>
        </w:rPr>
        <w:t>Y, al igual que en Twitter, son las publicaciones de carácter participativo las que mejores resultados obtienen en términos de interacción tal y como se muestra en la imagen 3.</w:t>
      </w:r>
    </w:p>
    <w:p w:rsidR="00D52EA2" w:rsidRPr="00F21E9C" w:rsidRDefault="00D52EA2" w:rsidP="00740778">
      <w:pPr>
        <w:spacing w:after="0"/>
        <w:ind w:left="1080"/>
        <w:jc w:val="both"/>
        <w:rPr>
          <w:rFonts w:ascii="Tahoma" w:eastAsia="Times" w:hAnsi="Tahoma" w:cs="Tahoma"/>
          <w:b/>
          <w:smallCaps/>
          <w:sz w:val="24"/>
          <w:szCs w:val="24"/>
        </w:rPr>
      </w:pPr>
    </w:p>
    <w:p w:rsidR="00D52EA2" w:rsidRPr="00F21E9C" w:rsidRDefault="007E7893" w:rsidP="00740778">
      <w:pPr>
        <w:spacing w:after="0"/>
        <w:rPr>
          <w:rFonts w:ascii="Tahoma" w:eastAsia="Times" w:hAnsi="Tahoma" w:cs="Tahoma"/>
          <w:b/>
          <w:smallCaps/>
          <w:sz w:val="24"/>
          <w:szCs w:val="24"/>
        </w:rPr>
      </w:pPr>
      <w:r>
        <w:rPr>
          <w:noProof/>
        </w:rPr>
        <w:pict>
          <v:shape id="Imagen 1" o:spid="_x0000_s1038" type="#_x0000_t75" style="position:absolute;left:0;text-align:left;margin-left:107.15pt;margin-top:2.1pt;width:261.6pt;height:402.2pt;z-index:-251633664;visibility:visible;mso-position-horizontal-relative:text;mso-position-vertical-relative:text;mso-width-relative:page;mso-height-relative:page" wrapcoords="-179 0 -179 21483 21600 21483 21600 0 -179 0">
            <v:imagedata r:id="rId26" o:title=""/>
            <w10:wrap type="tight"/>
          </v:shape>
        </w:pict>
      </w:r>
    </w:p>
    <w:p w:rsidR="00C67928" w:rsidRDefault="00C67928"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bookmarkStart w:id="4" w:name="_GoBack"/>
      <w:bookmarkEnd w:id="4"/>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7E7893" w:rsidRDefault="007E7893"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467539" w:rsidRDefault="00467539" w:rsidP="00740778">
      <w:pPr>
        <w:spacing w:after="0"/>
        <w:rPr>
          <w:rFonts w:ascii="Tahoma" w:eastAsia="Times" w:hAnsi="Tahoma" w:cs="Tahoma"/>
          <w:b/>
          <w:bCs/>
          <w:i/>
          <w:iCs/>
          <w:sz w:val="24"/>
          <w:szCs w:val="24"/>
        </w:rPr>
      </w:pPr>
    </w:p>
    <w:p w:rsidR="00D52EA2" w:rsidRPr="00F21E9C" w:rsidRDefault="00D52EA2" w:rsidP="00740778">
      <w:pPr>
        <w:spacing w:after="0"/>
        <w:rPr>
          <w:rFonts w:ascii="Tahoma" w:eastAsia="Times" w:hAnsi="Tahoma" w:cs="Tahoma"/>
          <w:b/>
          <w:bCs/>
          <w:i/>
          <w:iCs/>
          <w:sz w:val="24"/>
          <w:szCs w:val="24"/>
        </w:rPr>
      </w:pPr>
      <w:r w:rsidRPr="00F21E9C">
        <w:rPr>
          <w:rFonts w:ascii="Tahoma" w:eastAsia="Times" w:hAnsi="Tahoma" w:cs="Tahoma"/>
          <w:b/>
          <w:bCs/>
          <w:i/>
          <w:iCs/>
          <w:sz w:val="24"/>
          <w:szCs w:val="24"/>
        </w:rPr>
        <w:t xml:space="preserve">Imagen 3. </w:t>
      </w:r>
      <w:r w:rsidRPr="00F21E9C">
        <w:rPr>
          <w:rFonts w:ascii="Tahoma" w:eastAsia="Times" w:hAnsi="Tahoma" w:cs="Tahoma"/>
          <w:i/>
          <w:iCs/>
          <w:sz w:val="24"/>
          <w:szCs w:val="24"/>
        </w:rPr>
        <w:t>Publicación con mayor nivel de interacción (“me gusta”)</w:t>
      </w:r>
    </w:p>
    <w:p w:rsidR="00D52EA2" w:rsidRPr="00F21E9C" w:rsidRDefault="00D52EA2" w:rsidP="00740778">
      <w:pPr>
        <w:spacing w:after="0"/>
        <w:rPr>
          <w:rFonts w:ascii="Tahoma" w:eastAsia="Times" w:hAnsi="Tahoma" w:cs="Tahoma"/>
          <w:b/>
          <w:smallCaps/>
          <w:sz w:val="24"/>
          <w:szCs w:val="24"/>
        </w:rPr>
      </w:pPr>
      <w:r w:rsidRPr="00F21E9C">
        <w:rPr>
          <w:rFonts w:ascii="Tahoma" w:eastAsia="Times" w:hAnsi="Tahoma" w:cs="Tahoma"/>
          <w:b/>
          <w:bCs/>
          <w:sz w:val="24"/>
          <w:szCs w:val="24"/>
        </w:rPr>
        <w:t>Fuente:</w:t>
      </w:r>
      <w:r w:rsidRPr="00F21E9C">
        <w:rPr>
          <w:rFonts w:ascii="Tahoma" w:eastAsia="Times" w:hAnsi="Tahoma" w:cs="Tahoma"/>
          <w:sz w:val="24"/>
          <w:szCs w:val="24"/>
        </w:rPr>
        <w:t xml:space="preserve"> @</w:t>
      </w:r>
      <w:proofErr w:type="spellStart"/>
      <w:r w:rsidRPr="00F21E9C">
        <w:rPr>
          <w:rFonts w:ascii="Tahoma" w:eastAsia="Times" w:hAnsi="Tahoma" w:cs="Tahoma"/>
          <w:sz w:val="24"/>
          <w:szCs w:val="24"/>
        </w:rPr>
        <w:t>NetflixES</w:t>
      </w:r>
      <w:proofErr w:type="spellEnd"/>
      <w:r w:rsidRPr="00F21E9C">
        <w:rPr>
          <w:rFonts w:ascii="Tahoma" w:eastAsia="Times" w:hAnsi="Tahoma" w:cs="Tahoma"/>
          <w:sz w:val="24"/>
          <w:szCs w:val="24"/>
        </w:rPr>
        <w:t>, Instagram (2019, 25 enero)</w:t>
      </w:r>
    </w:p>
    <w:p w:rsidR="00D52EA2" w:rsidRPr="00F21E9C" w:rsidRDefault="00D52EA2" w:rsidP="00740778">
      <w:pPr>
        <w:spacing w:after="0"/>
        <w:ind w:firstLine="357"/>
        <w:jc w:val="both"/>
        <w:rPr>
          <w:rFonts w:ascii="Tahoma" w:eastAsia="Times" w:hAnsi="Tahoma" w:cs="Tahoma"/>
          <w:bCs/>
          <w:sz w:val="24"/>
          <w:szCs w:val="24"/>
          <w:lang w:val="es-ES_tradnl"/>
        </w:rPr>
      </w:pPr>
    </w:p>
    <w:p w:rsidR="00D52EA2" w:rsidRPr="00F21E9C" w:rsidRDefault="00D52EA2" w:rsidP="00740778">
      <w:pPr>
        <w:spacing w:after="0"/>
        <w:ind w:firstLine="284"/>
        <w:jc w:val="both"/>
        <w:rPr>
          <w:rFonts w:ascii="Tahoma" w:eastAsia="Times" w:hAnsi="Tahoma" w:cs="Tahoma"/>
          <w:bCs/>
          <w:sz w:val="24"/>
          <w:szCs w:val="24"/>
          <w:lang w:val="es-ES_tradnl"/>
        </w:rPr>
      </w:pPr>
      <w:r w:rsidRPr="00F21E9C">
        <w:rPr>
          <w:rFonts w:ascii="Tahoma" w:eastAsia="Times" w:hAnsi="Tahoma" w:cs="Tahoma"/>
          <w:bCs/>
          <w:sz w:val="24"/>
          <w:szCs w:val="24"/>
          <w:lang w:val="es-ES_tradnl"/>
        </w:rPr>
        <w:t xml:space="preserve">Así mismo, cabe señalar que en Instagram sí hay publicaciones sobre series de carácter participativo. Concretamente hay 9, de las que 8 son sobre series de producción propia. </w:t>
      </w:r>
    </w:p>
    <w:p w:rsidR="00D52EA2" w:rsidRPr="00F21E9C" w:rsidRDefault="00D52EA2" w:rsidP="00740778">
      <w:pPr>
        <w:tabs>
          <w:tab w:val="left" w:pos="600"/>
        </w:tabs>
        <w:autoSpaceDE w:val="0"/>
        <w:autoSpaceDN w:val="0"/>
        <w:adjustRightInd w:val="0"/>
        <w:spacing w:after="0"/>
        <w:jc w:val="both"/>
        <w:rPr>
          <w:rFonts w:ascii="Tahoma" w:hAnsi="Tahoma" w:cs="Tahoma"/>
          <w:b/>
          <w:sz w:val="24"/>
          <w:szCs w:val="24"/>
        </w:rPr>
      </w:pPr>
    </w:p>
    <w:p w:rsidR="00D52EA2" w:rsidRPr="00F21E9C" w:rsidRDefault="00D52EA2" w:rsidP="00740778">
      <w:pPr>
        <w:tabs>
          <w:tab w:val="left" w:pos="600"/>
        </w:tabs>
        <w:autoSpaceDE w:val="0"/>
        <w:autoSpaceDN w:val="0"/>
        <w:adjustRightInd w:val="0"/>
        <w:spacing w:after="0"/>
        <w:jc w:val="both"/>
        <w:rPr>
          <w:rFonts w:ascii="Tahoma" w:hAnsi="Tahoma" w:cs="Tahoma"/>
          <w:color w:val="000000"/>
          <w:sz w:val="24"/>
          <w:szCs w:val="24"/>
        </w:rPr>
      </w:pPr>
      <w:r w:rsidRPr="00F21E9C">
        <w:rPr>
          <w:rFonts w:ascii="Tahoma" w:hAnsi="Tahoma" w:cs="Tahoma"/>
          <w:b/>
          <w:sz w:val="24"/>
          <w:szCs w:val="24"/>
        </w:rPr>
        <w:t xml:space="preserve">5. CONCLUSIONES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Las</w:t>
      </w:r>
      <w:r w:rsidRPr="00F21E9C">
        <w:rPr>
          <w:rFonts w:ascii="Tahoma" w:hAnsi="Tahoma" w:cs="Tahoma"/>
          <w:bCs/>
          <w:sz w:val="24"/>
          <w:szCs w:val="24"/>
          <w:lang w:eastAsia="en-US"/>
        </w:rPr>
        <w:t xml:space="preserve"> compañías de distribución de contenidos audiovisuales deben fomentar que </w:t>
      </w:r>
      <w:r w:rsidRPr="00F21E9C">
        <w:rPr>
          <w:rFonts w:ascii="Tahoma" w:eastAsia="Times" w:hAnsi="Tahoma" w:cs="Tahoma"/>
          <w:sz w:val="24"/>
          <w:szCs w:val="24"/>
        </w:rPr>
        <w:t xml:space="preserve">el </w:t>
      </w:r>
      <w:r w:rsidRPr="00F21E9C">
        <w:rPr>
          <w:rFonts w:ascii="Tahoma" w:eastAsia="Times" w:hAnsi="Tahoma" w:cs="Tahoma"/>
          <w:i/>
          <w:iCs/>
          <w:sz w:val="24"/>
          <w:szCs w:val="24"/>
        </w:rPr>
        <w:t>fan</w:t>
      </w:r>
      <w:r w:rsidRPr="00F21E9C">
        <w:rPr>
          <w:rFonts w:ascii="Tahoma" w:eastAsia="Times" w:hAnsi="Tahoma" w:cs="Tahoma"/>
          <w:sz w:val="24"/>
          <w:szCs w:val="24"/>
        </w:rPr>
        <w:t xml:space="preserve"> interactúe en todas las plataformas, especialmente en las digitales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{"citationItems":[{"id":"ITEM-1","itemData":{"ISSN":"2174-1859","abstract":"El presente trabajo pretende mostrar la importancia que tiene el papel del prosumidor a la hora de desarrollar la narrativa transmedia de las series de ficción en televisión. Las contribuciones de este nuevo tipo de consumidor no pueden ser menospreciadas, se les debe otorgar la importancia que merecen, pues sus creaciones no hacen sino aumentar la visibilidad y el valor de marca de la historia en cuestión. Para la realización de esta investigación se ha llevado a cabo un estudio del caso de la serie de ficción El Ministerio del Tiempo. El fenómeno fan originado a raíz de esta serie ha favorecido la creación de una enorme cantidad de contenido transmedia. Este artículo muestra cómo las aportaciones de los prosumidores son tan importantes como el propio desarrollo oficial de la serie. Hacen que ésta crezca y sea más completa, generando una fidelidad por parte de los espectadores mucho mayor que las series que sólo se preocupan por su desarrollo monomediático. Son un grupo especial de espectadores a los que hay que cuidar y escuchar, pues son los mayores fans de estos productos audiovisuales. Y, además, pueden encumbrar o destruir un proyecto de estas características.","author":[{"dropping-particle":"","family":"Miranda Galbe","given":"Jorge","non-dropping-particle":"","parse-names":false,"suffix":""},{"dropping-particle":"","family":"Figuero Espadas","given":"Javier","non-dropping-particle":"","parse-names":false,"suffix":""}],"container-title":"index.comunicación","id":"ITEM-1","issue":"2","issued":{"date-parts":[["2016"]]},"page":"115-134","title":"El rol del prosumidor en la expansión narrativa transmedia de las historias de ficción en televisión: el caso de ‘El Ministerio del Tiempo’","type":"article-journal","volume":"6"},"uris":["http://www.mendeley.com/documents/?uuid=714843e6-0191-4e28-aa1d-1fda2e66a400"]},{"id":"ITEM-2","itemData":{"DOI":"http://doi.org/10.5281/zenodo.4292728","author":[{"dropping-particle":"","family":"Cabezuelo-Lorenzo","given":"Francisco","non-dropping-particle":"","parse-names":false,"suffix":""},{"dropping-particle":"","family":"Barrientos-Báez","given":"Almudena","non-dropping-particle":"","parse-names":false,"suffix":""},{"dropping-particle":"","family":"Caldevilla-Domínguez","given":"David","non-dropping-particle":"","parse-names":false,"suffix":""}],"container-title":"Utopía y Praxis Latinoamericana. Revista Internacional de Filosofía y Teoría Social","id":"ITEM-2","issue":"EXTRA 13","issued":{"date-parts":[["2020"]]},"page":"210-224","title":"Ficción audiovisual contemporánea como herramienta educativa en la actual sociedad multipantallas","type":"article-journal","volume":"25"},"uris":["http://www.mendeley.com/documents/?uuid=8907db5c-27d7-41ac-b17e-e8412184f6ed"]}],"mendeley":{"formattedCitation":"(Francisco Cabezuelo-Lorenzo et al., 2020; Miranda Galbe &amp; Figuero Espadas, 2016)","plainTextFormattedCitation":"(Francisco Cabezuelo-Lorenzo et al., 2020; Miranda Galbe &amp; Figuero Espadas, 2016)","previouslyFormattedCitation":"(Cabezuelo-Lorenzo et al., 2020; Miranda Galbe &amp; Figuero Espadas, 2016)"},"properties":{"noteIndex":0},"schema":"https://github.com/citation-style-language/schema/raw/master/csl-citation.json"}</w:instrText>
      </w:r>
      <w:r w:rsidRPr="00F21E9C">
        <w:rPr>
          <w:rFonts w:ascii="Tahoma" w:eastAsia="Times" w:hAnsi="Tahoma" w:cs="Tahoma"/>
          <w:sz w:val="24"/>
          <w:szCs w:val="24"/>
        </w:rPr>
        <w:fldChar w:fldCharType="separate"/>
      </w:r>
      <w:r w:rsidRPr="004D77C9">
        <w:rPr>
          <w:rFonts w:ascii="Tahoma" w:eastAsia="Times" w:hAnsi="Tahoma" w:cs="Tahoma"/>
          <w:noProof/>
          <w:sz w:val="24"/>
          <w:szCs w:val="24"/>
        </w:rPr>
        <w:t xml:space="preserve">(Francisco Cabezuelo-Lorenzo </w:t>
      </w:r>
      <w:r w:rsidRPr="00672817">
        <w:rPr>
          <w:rFonts w:ascii="Tahoma" w:eastAsia="Times" w:hAnsi="Tahoma" w:cs="Tahoma"/>
          <w:i/>
          <w:noProof/>
          <w:sz w:val="24"/>
          <w:szCs w:val="24"/>
        </w:rPr>
        <w:t>et al.</w:t>
      </w:r>
      <w:r w:rsidRPr="004D77C9">
        <w:rPr>
          <w:rFonts w:ascii="Tahoma" w:eastAsia="Times" w:hAnsi="Tahoma" w:cs="Tahoma"/>
          <w:noProof/>
          <w:sz w:val="24"/>
          <w:szCs w:val="24"/>
        </w:rPr>
        <w:t>, 2020; Miranda Galbe &amp; Figuero Espadas, 2016)</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donde destacan las redes sociales. A este respecto existe un gran interés profesional y académico por la incidencia que tiene la actividad de la audiencia social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{"citationItems":[{"id":"ITEM-1","itemData":{"DOI":"10.4185/RLCS-2018-1242","ISSN":"11385820","abstract":"Introduction. Digital age brings to television fiction viewers a variety of spaces where they can disclose their self-identity and emotions generated by the texts consumed. Methodology. This article analyses 7,849 comments posted by female fans and community managers on 122 sites (forums and social networks) dedicated to the Spanish TV fiction. The 22,301 items generated from the comments analysed explore the emotions aroused by television fiction, such as joy, enthusiasm, sadness, anger, disappointment and nostalgia. Conclusions and discussion. The research confirms the potential of TV fiction to encourage self-reflection on the self-identity of fans. It also identifies forums as the platforms that encourage deeper debates about TV series, despite the popularity of social networks such as Facebook or Twitter. Finally, community managers’ comments, which focus on the promotion of TV programmes, disregard the strengthening of the feeling of collective identity.","author":[{"dropping-particle":"","family":"Lacalle","given":"Charo","non-dropping-particle":"","parse-names":false,"suffix":""},{"dropping-particle":"","family":"Castro","given":"Deborah","non-dropping-particle":"","parse-names":false,"suffix":""}],"container-title":"Revista Latina de Comunicacion Social","id":"ITEM-1","issue":"73","issued":{"date-parts":[["2018"]]},"page":"1-18","title":"Fandom televisivo y construcción de identidad. Análisis de los comentarios de las fans españolas y los community managers","type":"article-journal","volume":"2018"},"uris":["http://www.mendeley.com/documents/?uuid=e101c1c0-c2d6-4fe1-9c44-8361d532fc84"]},{"id":"ITEM-2","itemData":{"DOI":"https://doi.org/10.31207/rch.v9i2.172","abstract":"Las cadenas de televisión han visto en el uso de las redes sociales una oportunidad para favorecer la relación con sus audiencias y conocerlas mejor, y esto ha sido objeto de interés de la profesión y la academia. También lo ha sido el uso de Twitter como parte de su estrategia de comunicación. El desarrollo de los servicios audiovisuales bajo demanda, que alteran los patrones de consumo tradicional, sugiere un marco diferente en estudio del uso de las redes sociales, Twitter en particular. El objetivo de este estudio es el análisis del discurso que mantiene Netflix en la red social Twitter. Nos preguntamos cómo se relaciona la marca con los consumidores fuera de su canal propio –su aplicación, su plataforma-. Es decir, qué tipo de conversaciones mantiene en un espacio público, si lo hace; en qué se centran esas conversaciones y cuál es el peso de los contenidos de su catálogo en ellas. Para ello, combinaremos la creación de un marco teórico para la comprensión del uso de Twitter en un servicio de video bajo demanda con el estudio del caso de Netflix España centrándonos en un mes concreto al año siguiente de su lanzamiento. El objetivo final consiste en extraer tendencias que apunten a prácticas paradigmáticas para el mantenimiento de una relación de engagement a través de Twitter en un servicio de video bajo demanda.","author":[{"dropping-particle":"","family":"Herrero Subías","given":"Mónica","non-dropping-particle":"","parse-names":false,"suffix":""},{"dropping-particle":"","family":"Urgellés Molina","given":"Alicia","non-dropping-particle":"","parse-names":false,"suffix":""}],"container-title":"Revista Comhumanitas","id":"ITEM-2","issue":"2","issued":{"date-parts":[["2018"]]},"page":"175-191","title":"Generación de engagement con un servicio de vídeo bajo demanda en Twitter. El caso de Netflix España","type":"article-journal","volume":"9"},"uris":["http://www.mendeley.com/documents/?uuid=9b5c7665-b171-429d-9318-630b5e5a11dd"]}],"mendeley":{"formattedCitation":"(Herrero Subías &amp; Urgellés Molina, 2018; Lacalle &amp; Castro, 2018)","plainTextFormattedCitation":"(Herrero Subías &amp; Urgellés Molina, 2018; Lacalle &amp; Castro, 2018)","previouslyFormattedCitation":"(Herrero Subías &amp; Urgellés Molina, 2018; Lacalle &amp; Castro, 2018)"},"properties":{"noteIndex":0},"schema":"https://github.com/citation-style-language/schema/raw/master/csl-citation.json"}</w:instrText>
      </w:r>
      <w:r w:rsidRPr="00F21E9C">
        <w:rPr>
          <w:rFonts w:ascii="Tahoma" w:eastAsia="Times" w:hAnsi="Tahoma" w:cs="Tahoma"/>
          <w:sz w:val="24"/>
          <w:szCs w:val="24"/>
        </w:rPr>
        <w:fldChar w:fldCharType="separate"/>
      </w:r>
      <w:r w:rsidRPr="00DD0E6F">
        <w:rPr>
          <w:rFonts w:ascii="Tahoma" w:eastAsia="Times" w:hAnsi="Tahoma" w:cs="Tahoma"/>
          <w:noProof/>
          <w:sz w:val="24"/>
          <w:szCs w:val="24"/>
        </w:rPr>
        <w:t>(Herrero Subías &amp; Urgellés Molina, 2018; Lacalle &amp; Castro,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en estos canales en el desarrollo y construcción de las marcas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{"citationItems":[{"id":"ITEM-1","itemData":{"DOI":"10.1177/1527476417728376","ISSN":"15528316","abstract":"In the current participatory television environment, social media serves both a social backchannel for interactions between audience members and a direct line of communication between audiences and production. Because audience activity on social media becomes part of the media brand, it is a priority for the industry to achieve some level of control/influence on that activity. In this article, I discuss writers’ room Twitter accounts as a space used to model and reinforce fan behavior that serves industry interests, arguing that these accounts serve industry needs through the behaviors they promote and recognize. Through analysis of three writers’ room Twitter accounts—for Jane the Virgin, Faking It, and Orange Is the New Black—I show how this process works, as well as the ways in which a show’s individual industrial context shapes the type of fan that is hailed.","author":[{"dropping-particle":"","family":"Navar-Gill","given":"Annemarie","non-dropping-particle":"","parse-names":false,"suffix":""}],"container-title":"Television and New Media","id":"ITEM-1","issue":"5","issued":{"date-parts":[["2018"]]},"page":"415-430","title":"From Strategic Retweets to Group Hangs: Writers’ Room Twitter Accounts and the Productive Ecosystem of TV Social Media Fans","type":"article-journal","volume":"19"},"uris":["http://www.mendeley.com/documents/?uuid=e15ca9b6-af23-4d2a-9b67-7f33aabc63b5"]},{"id":"ITEM-2","itemData":{"ISBN":"978-84-9116-339-8","author":[{"dropping-particle":"","family":"Monserrat-Gauchi","given":"Juan","non-dropping-particle":"","parse-names":false,"suffix":""},{"dropping-particle":"","family":"Martínez-Sala","given":"Alba-María","non-dropping-particle":"","parse-names":false,"suffix":""}],"container-title":"Casos de estudio de Relaciones Públicas. Sociedad conectada: empresas y universidades","editor":[{"dropping-particle":"","family":"Mut","given":"M.","non-dropping-particle":"","parse-names":false,"suffix":""},{"dropping-particle":"","family":"Oliveira","given":"A.","non-dropping-particle":"","parse-names":false,"suffix":""},{"dropping-particle":"","family":"Alberto Pérez","given":"R.","non-dropping-particle":"","parse-names":false,"suffix":""},{"dropping-particle":"","family":"Xifra","given":"J.","non-dropping-particle":"","parse-names":false,"suffix":""}],"id":"ITEM-2","issued":{"date-parts":[["2016"]]},"page":"59-85","publisher":"Editorial UOC. Colección DIRCOM","publisher-place":"Barcelona","title":"Cambio de paradigma en la interacción de las empresas con sus públicos. La generación de contenidos a través de Facebook","type":"chapter"},"uris":["http://www.mendeley.com/documents/?uuid=27ae2725-d4d0-49d2-b856-67d0b1de2f5d"]}],"mendeley":{"formattedCitation":"(Monserrat-Gauchi &amp; Martínez-Sala, 2016; Navar-Gill, 2018)","plainTextFormattedCitation":"(Monserrat-Gauchi &amp; Martínez-Sala, 2016; Navar-Gill, 2018)","previouslyFormattedCitation":"(Monserrat-Gauchi &amp; Martínez-Sala, 2016; Navar-Gill, 2018)"},"properties":{"noteIndex":0},"schema":"https://github.com/citation-style-language/schema/raw/master/csl-citation.json"}</w:instrText>
      </w:r>
      <w:r w:rsidRPr="00F21E9C">
        <w:rPr>
          <w:rFonts w:ascii="Tahoma" w:eastAsia="Times" w:hAnsi="Tahoma" w:cs="Tahoma"/>
          <w:sz w:val="24"/>
          <w:szCs w:val="24"/>
        </w:rPr>
        <w:fldChar w:fldCharType="separate"/>
      </w:r>
      <w:r w:rsidRPr="002B5029">
        <w:rPr>
          <w:rFonts w:ascii="Tahoma" w:eastAsia="Times" w:hAnsi="Tahoma" w:cs="Tahoma"/>
          <w:noProof/>
          <w:sz w:val="24"/>
          <w:szCs w:val="24"/>
        </w:rPr>
        <w:t>(Monserrat-Gauchi &amp; Martínez-Sala, 2016; Navar-Gill,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Centrándose en estos, las investigaciones revisadas coinciden al respecto de la necesidad de tener una presencia constante basada en el establecimiento de una comunicación multidireccional,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{"citationItems":[{"id":"ITEM-1","itemData":{"DOI":"10.24137/raeic.3.6.4","ISSN":"2341-2690","abstract":"text El 1º de enero de 2014 se cumplieron 20 años de la entrada en vigor del Tratado de Libre Comercio de América del Norte (TLCAN) firmado entre México, Estados Unidos y Canadá, periodo durante el cual la industria del cine mexicano ha experimentado una serie de crisis y transformaciones. En este trabajo se presenta un análisis de los efectos que en la producción, circulación y consumo cinematográficos de películas mexicanas han tenido las políticas económicas neoliberales, cambios a las regulaciones y apertura del mercado de la industria cinematográfica nacional que se adoptaron desde la firma del TLCAN, desde la perspectiva de la economía política de la comunicación y la cultura, en la producción cinematográfica a nivel nacional durante el periodo 1992-2013; y de la exhibición y oferta de películas en los cines comerciales a nivel local como referente empírico. Como método de estudio se utilizan la investigación documental, la técnica del análisis de contenido y la encuesta. Los resultados muestran que en la primera década posterior a la entrada del TLCAN se presentó una crisis en la industria del cine que casi la hace desaparecer; sin embargo, a partir del 2006 se observa una mejoría en la producción y consumo de películas mexicanas, no así en la exhibición.","author":[{"dropping-particle":"","family":"González Neira","given":"Ana","non-dropping-particle":"","parse-names":false,"suffix":""},{"dropping-particle":"","family":"Quintas Froufe","given":"Natalia","non-dropping-particle":"","parse-names":false,"suffix":""}],"container-title":"Revista de la Asociación Española de Investigación de la Comunicación","id":"ITEM-1","issue":"6","issued":{"date-parts":[["2016"]]},"page":"27-33","title":"El comportamiento de la audiencia lineal, social y en diferido de las series de ficción española","type":"article-journal","volume":"3"},"uris":["http://www.mendeley.com/documents/?uuid=7ac0671e-3709-496d-a39f-c760ae33ee88"]}],"mendeley":{"formattedCitation":"(González Neira &amp; Quintas Froufe, 2016)","plainTextFormattedCitation":"(González Neira &amp; Quintas Froufe, 2016)","previouslyFormattedCitation":"(González Neira &amp; Quintas Froufe, 2016)"},"properties":{"noteIndex":0},"schema":"https://github.com/citation-style-language/schema/raw/master/csl-citation.json"}</w:instrText>
      </w:r>
      <w:r w:rsidRPr="00F21E9C">
        <w:rPr>
          <w:rFonts w:ascii="Tahoma" w:eastAsia="Times" w:hAnsi="Tahoma" w:cs="Tahoma"/>
          <w:sz w:val="24"/>
          <w:szCs w:val="24"/>
        </w:rPr>
        <w:fldChar w:fldCharType="separate"/>
      </w:r>
      <w:r w:rsidRPr="00DD0E6F">
        <w:rPr>
          <w:rFonts w:ascii="Tahoma" w:eastAsia="Times" w:hAnsi="Tahoma" w:cs="Tahoma"/>
          <w:noProof/>
          <w:sz w:val="24"/>
          <w:szCs w:val="24"/>
        </w:rPr>
        <w:t>(González Neira &amp; Quintas Froufe, 2016)</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Esto requiere de la consecución del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y ahí radica la principal dificultad para las marcas porque se enfrentan a unos consumidores cada vez más participativos en las redes sociales pero también más selectivos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{"citationItems":[{"id":"ITEM-1","itemData":{"DOI":"10.3916/C43-2014-08","ISSN":"1134-3478","abstract":"La combinación de redes sociales, segundas pantallas y televisión ha propiciado la aparición de una nueva relación de los espectadores con la televisión en la que los habituales roles del paradigma de la comunicación se han alterado. La televisión social ha dado pie al nacimiento de la audiencia social entendida como una fragmentación de la audiencia real en función de su interactividad en las redes sociales. Este trabajo pretende estudiar los elementos que contribuyen al éxito o fracaso de programas con un mismo formato en relación a la audiencia social. Para ello se han tomado como objeto de estudio los tres talent show que lanzaron las principales cadenas generalistas españolas en septiembre del año 2013. Se ha procedido a la observación del impacto de dichos programas en la red social Twitter empleando una ficha de elaboración propia y se desarrolló un sistema de categorías de análisis y códigos con el fin de recopilar toda la información recogida. Los resultados obtenidos indican que en el éxito de los programas analizados en audiencia social influye la actividad de la cuentas de los presentadores y del jurado. Las conclusiones alcanzadas tras este análisis de la experiencia española pueden servir como modelo de desarrollo de la audiencia social para otros países en los que esta no se encuentre tan extendida.","author":[{"dropping-particle":"","family":"Quintas-Froufe","given":"Natalia","non-dropping-particle":"","parse-names":false,"suffix":""},{"dropping-particle":"","family":"González-Neira","given":"Ana","non-dropping-particle":"","parse-names":false,"suffix":""}],"container-title":"Comunicar","id":"ITEM-1","issue":"43","issued":{"date-parts":[["2014"]]},"page":"83-90","title":"Audiencias activas: participación de la audiencia social en la televisión","type":"article-journal","volume":"XXII"},"uris":["http://www.mendeley.com/documents/?uuid=036d4d9c-5a78-4194-8c77-84168ac0d6ef"]}],"mendeley":{"formattedCitation":"(Quintas-Froufe &amp; González-Neira, 2014)","plainTextFormattedCitation":"(Quintas-Froufe &amp; González-Neira, 2014)","previouslyFormattedCitation":"(Quintas-Froufe &amp; González-Neira, 2014)"},"properties":{"noteIndex":0},"schema":"https://github.com/citation-style-language/schema/raw/master/csl-citation.json"}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(Quintas-Froufe &amp; González-Neira, 2014)</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Atender esta realidad exige de un conocimiento profundo de las audiencias, de sus características, con el fin de convertirlas en ventajas. De este modo, el </w:t>
      </w:r>
      <w:proofErr w:type="spellStart"/>
      <w:r w:rsidRPr="00F21E9C">
        <w:rPr>
          <w:rFonts w:ascii="Tahoma" w:eastAsia="Times" w:hAnsi="Tahoma" w:cs="Tahoma"/>
          <w:i/>
          <w:iCs/>
          <w:sz w:val="24"/>
          <w:szCs w:val="24"/>
        </w:rPr>
        <w:t>fandom</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televisivo se revela como una oportunidad para que marcas, como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logren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Los </w:t>
      </w:r>
      <w:r w:rsidRPr="00F21E9C">
        <w:rPr>
          <w:rFonts w:ascii="Tahoma" w:eastAsia="Times" w:hAnsi="Tahoma" w:cs="Tahoma"/>
          <w:i/>
          <w:iCs/>
          <w:sz w:val="24"/>
          <w:szCs w:val="24"/>
        </w:rPr>
        <w:t>fans</w:t>
      </w:r>
      <w:r w:rsidRPr="00F21E9C">
        <w:rPr>
          <w:rFonts w:ascii="Tahoma" w:eastAsia="Times" w:hAnsi="Tahoma" w:cs="Tahoma"/>
          <w:sz w:val="24"/>
          <w:szCs w:val="24"/>
        </w:rPr>
        <w:t xml:space="preserve"> televisivos conforman comunidades en las que comentan, conversan, etc., sobre contenidos mediáticos por los que comparten un interés común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author":[{"dropping-particle":"","family":"Jenkins","given":"H.","non-dropping-particle":"","parse-names":false,"suffix":""}],"id":"ITEM-1","issued":{"date-parts":[["2010"]]},"publisher":"Paidós","publisher-place":"Madrid","title":"Piratas de textos. Fans, cultura participativa y televisión","type":"book"},"uris":["http://www.mendeley.com/documents/?uuid=fbf34eba-37b9-46f0-acfe-d9d6b765dcee"]},{"id":"ITEM-2","itemData":{"DOI":"https://doi.org/10.14201/fjc201817193213","author":[{"dropping-particle":"","family":"Atarama-Rojas","given":"Tomás","non-dropping-particle":"","parse-names":false,"suffix":""},{"dropping-particle":"","family":"Requena Zapata","given":"Selene","non-dropping-particle":"","parse-names":false,"suffix":""}],"container-title":"Fonseca, Journal of Communication","id":"ITEM-2","issue":"17","issued":{"date-parts":[["2018"]]},"page":"193-213","title":"Narrativa Transmedia: Análisis de la participación de la audiencia en la serie 13 reasons why para la aproximación al tema del suicidio","type":"article-journal"},"uris":["http://www.mendeley.com/documents/?uuid=0115c759-f843-44f4-bb6b-80a3328d7359"]}],"mendeley":{"formattedCitation":"(Atarama-Rojas &amp; Requena Zapata, 2018; Jenkins, 2010)","plainTextFormattedCitation":"(Atarama-Rojas &amp; Requena Zapata, 2018; Jenkins, 2010)","previouslyFormattedCitation":"(Atarama-Rojas &amp; Requena Zapata, 2018; Jenkins, 2010)"},"properties":{"noteIndex":0},"schema":"https://github.com/citation-style-language/schema/raw/master/csl-citation.json"}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(Atarama-Rojas &amp; Requena Zapata, 2018; Jenkins, 2010)</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Las marcas de esta industria pueden aprovechar este fenómeno potenciando que sus integrantes actúen como </w:t>
      </w:r>
      <w:proofErr w:type="spellStart"/>
      <w:r w:rsidRPr="00F21E9C">
        <w:rPr>
          <w:rFonts w:ascii="Tahoma" w:eastAsia="Times" w:hAnsi="Tahoma" w:cs="Tahoma"/>
          <w:i/>
          <w:iCs/>
          <w:sz w:val="24"/>
          <w:szCs w:val="24"/>
        </w:rPr>
        <w:t>prosumers</w:t>
      </w:r>
      <w:proofErr w:type="spellEnd"/>
      <w:r w:rsidRPr="00F21E9C">
        <w:rPr>
          <w:rFonts w:ascii="Tahoma" w:eastAsia="Times" w:hAnsi="Tahoma" w:cs="Tahoma"/>
          <w:sz w:val="24"/>
          <w:szCs w:val="24"/>
        </w:rPr>
        <w:t xml:space="preserve"> y </w:t>
      </w:r>
      <w:proofErr w:type="spellStart"/>
      <w:r w:rsidRPr="00F21E9C">
        <w:rPr>
          <w:rFonts w:ascii="Tahoma" w:eastAsia="Times" w:hAnsi="Tahoma" w:cs="Tahoma"/>
          <w:i/>
          <w:iCs/>
          <w:sz w:val="24"/>
          <w:szCs w:val="24"/>
        </w:rPr>
        <w:t>adprosumers</w:t>
      </w:r>
      <w:proofErr w:type="spellEnd"/>
      <w:r w:rsidRPr="00F21E9C">
        <w:rPr>
          <w:rFonts w:ascii="Tahoma" w:eastAsia="Times" w:hAnsi="Tahoma" w:cs="Tahoma"/>
          <w:i/>
          <w:iCs/>
          <w:sz w:val="24"/>
          <w:szCs w:val="24"/>
        </w:rPr>
        <w:t>.</w:t>
      </w:r>
      <w:r w:rsidRPr="00F21E9C">
        <w:rPr>
          <w:rFonts w:ascii="Tahoma" w:eastAsia="Times" w:hAnsi="Tahoma" w:cs="Tahoma"/>
          <w:sz w:val="24"/>
          <w:szCs w:val="24"/>
        </w:rPr>
        <w:t xml:space="preserve"> Para ello se debe, primero, constatar que efectivamente favorece 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y en su caso, determinar cómo explotarlo.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En este sentido, se ha desarrollado esta investigación que, en primer lugar, ha confirmado cierta consideración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televisivo en la estrategia de comunicación digital de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en Twitter e Instagram (P.I.1). </w:t>
      </w:r>
      <w:r>
        <w:rPr>
          <w:rFonts w:ascii="Tahoma" w:eastAsia="Times" w:hAnsi="Tahoma" w:cs="Tahoma"/>
          <w:sz w:val="24"/>
          <w:szCs w:val="24"/>
        </w:rPr>
        <w:t>A</w:t>
      </w:r>
      <w:r w:rsidRPr="00F21E9C">
        <w:rPr>
          <w:rFonts w:ascii="Tahoma" w:eastAsia="Times" w:hAnsi="Tahoma" w:cs="Tahoma"/>
          <w:sz w:val="24"/>
          <w:szCs w:val="24"/>
        </w:rPr>
        <w:t xml:space="preserve">proximadamente la mitad de las publicaciones son sobre series de televisión, aunque sorprende el elevado número de publicaciones sobre otros contenidos. Estas publicaciones suelen estar orientadas a estimular la participación (encuestas, saludo, etc.), pero también, a la promoción de la plataforma pese a que los usuarios conectan más fácilmente con contenidos específicos que con la marca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Información","id":"ITEM-1","issue":"6","issued":{"date-parts":[["2018"]]},"page":"1292","title":"La estrategia de engagement de Netflix España en Twitter","type":"article-journal","volume":"27"},"uris":["http://www.mendeley.com/documents/?uuid=8dcc95d0-fef3-455b-ba0c-5a9c17ea0c53"]}],"mendeley":{"formattedCitation":"(Fernández-Gómez &amp; Martín-Quevedo, 2018b)","plainTextFormattedCitation":"(Fernández-Gómez &amp; Martín-Quevedo, 2018b)","previouslyFormattedCitation":"(Fernández-Gómez &amp; Martín-Quevedo, 2018b)"},"properties":{"noteIndex":0},"schema":"https://github.com/citation-style-language/schema/raw/master/csl-citation.json"}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(Fernández-Gómez &amp; Martín-Quevedo, 2018b)</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Los resultados comprobados en Twitter se mantienen en Instagram, aunque en esta red social la proporción de publicaciones sobre series es mayor.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Una vez identificadas y catalogadas las publicaciones se analiza la interacción generada con el fin de responder a la P.I.2 sobre la incidencia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en el nivel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 </w:t>
      </w:r>
      <w:r w:rsidRPr="00F21E9C">
        <w:rPr>
          <w:rFonts w:ascii="Tahoma" w:eastAsia="Times" w:hAnsi="Tahoma" w:cs="Tahoma"/>
          <w:sz w:val="24"/>
          <w:szCs w:val="24"/>
        </w:rPr>
        <w:t xml:space="preserve">Los resultados han revelado el potencial comunicacional y relacional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i/>
          <w:iCs/>
          <w:sz w:val="24"/>
          <w:szCs w:val="24"/>
        </w:rPr>
        <w:t xml:space="preserve"> </w:t>
      </w:r>
      <w:r w:rsidRPr="00F21E9C">
        <w:rPr>
          <w:rFonts w:ascii="Tahoma" w:eastAsia="Times" w:hAnsi="Tahoma" w:cs="Tahoma"/>
          <w:sz w:val="24"/>
          <w:szCs w:val="24"/>
        </w:rPr>
        <w:t xml:space="preserve">televisivo en ambas redes sociales y, en especial, en Instagram. En Twitter, aunque a nivel global, son los </w:t>
      </w:r>
      <w:r w:rsidRPr="00F21E9C">
        <w:rPr>
          <w:rFonts w:ascii="Tahoma" w:eastAsia="Times" w:hAnsi="Tahoma" w:cs="Tahoma"/>
          <w:i/>
          <w:iCs/>
          <w:sz w:val="24"/>
          <w:szCs w:val="24"/>
        </w:rPr>
        <w:t xml:space="preserve">tweets </w:t>
      </w:r>
      <w:r w:rsidRPr="00F21E9C">
        <w:rPr>
          <w:rFonts w:ascii="Tahoma" w:eastAsia="Times" w:hAnsi="Tahoma" w:cs="Tahoma"/>
          <w:sz w:val="24"/>
          <w:szCs w:val="24"/>
        </w:rPr>
        <w:t xml:space="preserve">sobre </w:t>
      </w:r>
      <w:proofErr w:type="gramStart"/>
      <w:r w:rsidRPr="00F21E9C">
        <w:rPr>
          <w:rFonts w:ascii="Tahoma" w:eastAsia="Times" w:hAnsi="Tahoma" w:cs="Tahoma"/>
          <w:sz w:val="24"/>
          <w:szCs w:val="24"/>
        </w:rPr>
        <w:t>otros</w:t>
      </w:r>
      <w:proofErr w:type="gramEnd"/>
      <w:r w:rsidRPr="00F21E9C">
        <w:rPr>
          <w:rFonts w:ascii="Tahoma" w:eastAsia="Times" w:hAnsi="Tahoma" w:cs="Tahoma"/>
          <w:sz w:val="24"/>
          <w:szCs w:val="24"/>
        </w:rPr>
        <w:t xml:space="preserve"> (no series) los que logran los máximos niveles de interacción, el índice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más elevado lo ostentan los </w:t>
      </w:r>
      <w:r w:rsidRPr="00F21E9C">
        <w:rPr>
          <w:rFonts w:ascii="Tahoma" w:eastAsia="Times" w:hAnsi="Tahoma" w:cs="Tahoma"/>
          <w:i/>
          <w:iCs/>
          <w:sz w:val="24"/>
          <w:szCs w:val="24"/>
        </w:rPr>
        <w:t xml:space="preserve">tweets </w:t>
      </w:r>
      <w:r w:rsidRPr="00F21E9C">
        <w:rPr>
          <w:rFonts w:ascii="Tahoma" w:eastAsia="Times" w:hAnsi="Tahoma" w:cs="Tahoma"/>
          <w:sz w:val="24"/>
          <w:szCs w:val="24"/>
        </w:rPr>
        <w:t>sobre series, concretamente de series no originales. Además, en función de los promedios/publicación son también este tipo de</w:t>
      </w:r>
      <w:r w:rsidRPr="00F21E9C">
        <w:rPr>
          <w:rFonts w:ascii="Tahoma" w:eastAsia="Times" w:hAnsi="Tahoma" w:cs="Tahoma"/>
          <w:i/>
          <w:iCs/>
          <w:sz w:val="24"/>
          <w:szCs w:val="24"/>
        </w:rPr>
        <w:t xml:space="preserve"> tweets</w:t>
      </w:r>
      <w:r w:rsidRPr="00F21E9C">
        <w:rPr>
          <w:rFonts w:ascii="Tahoma" w:eastAsia="Times" w:hAnsi="Tahoma" w:cs="Tahoma"/>
          <w:sz w:val="24"/>
          <w:szCs w:val="24"/>
        </w:rPr>
        <w:t xml:space="preserve"> los que mayor número de “me gusta” y “</w:t>
      </w:r>
      <w:proofErr w:type="spellStart"/>
      <w:r w:rsidRPr="00F21E9C">
        <w:rPr>
          <w:rFonts w:ascii="Tahoma" w:eastAsia="Times" w:hAnsi="Tahoma" w:cs="Tahoma"/>
          <w:i/>
          <w:iCs/>
          <w:sz w:val="24"/>
          <w:szCs w:val="24"/>
        </w:rPr>
        <w:t>retweet</w:t>
      </w:r>
      <w:proofErr w:type="spellEnd"/>
      <w:r w:rsidRPr="00F21E9C">
        <w:rPr>
          <w:rFonts w:ascii="Tahoma" w:eastAsia="Times" w:hAnsi="Tahoma" w:cs="Tahoma"/>
          <w:sz w:val="24"/>
          <w:szCs w:val="24"/>
        </w:rPr>
        <w:t xml:space="preserve">” logran, a diferencia de los resultados obtenidos en este mismo ámbito por Fernández-Gómez &amp; Martín-Quevedo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Información","id":"ITEM-1","issue":"6","issued":{"date-parts":[["2018"]]},"page":"1292","title":"La estrategia de engagement de Netflix España en Twitter","type":"article-journal","volume":"27"},"suppress-author":1,"uris":["http://www.mendeley.com/documents/?uuid=8dcc95d0-fef3-455b-ba0c-5a9c17ea0c53"]}],"mendeley":{"formattedCitation":"(2018b)","plainTextFormattedCitation":"(2018b)","previouslyFormattedCitation":"(2018b)"},"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(2018b)</w:t>
      </w:r>
      <w:r w:rsidRPr="00F21E9C">
        <w:rPr>
          <w:rFonts w:ascii="Tahoma" w:eastAsia="Times" w:hAnsi="Tahoma" w:cs="Tahoma"/>
          <w:sz w:val="24"/>
          <w:szCs w:val="24"/>
        </w:rPr>
        <w:fldChar w:fldCharType="end"/>
      </w:r>
      <w:r w:rsidRPr="00F21E9C">
        <w:rPr>
          <w:rFonts w:ascii="Tahoma" w:eastAsia="Times" w:hAnsi="Tahoma" w:cs="Tahoma"/>
          <w:i/>
          <w:iCs/>
          <w:sz w:val="24"/>
          <w:szCs w:val="24"/>
        </w:rPr>
        <w:t>.</w:t>
      </w:r>
      <w:r w:rsidRPr="00F21E9C">
        <w:rPr>
          <w:rFonts w:ascii="Tahoma" w:eastAsia="Times" w:hAnsi="Tahoma" w:cs="Tahoma"/>
          <w:sz w:val="24"/>
          <w:szCs w:val="24"/>
        </w:rPr>
        <w:t xml:space="preserve"> En lo concerniente a las publicaciones sobre otros contenidos, estas lideran el promedio de comentarios, cuestión que se explica a tenor de la finalidad de las publicaciones. </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El criterio relativo a la finalidad de las publicaciones se consideró por su relevancia en los niveles de interacción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author":[{"dropping-particle":"","family":"Monserrat-Gauchi","given":"Juan","non-dropping-particle":"","parse-names":false,"suffix":""},{"dropping-particle":"","family":"Quiles-Soler","given":"María-Carmen","non-dropping-particle":"","parse-names":false,"suffix":""},{"dropping-particle":"","family":"Martínez-Sala","given":"Alba-María","non-dropping-particle":"","parse-names":false,"suffix":""}],"container-title":"Prisma Social","id":"ITEM-1","issue":"18","issued":{"date-parts":[["2017"]]},"page":"540-560","title":"La participación ciudadana en la comunicación de las organizaciones. Análisis de las franquicias de salud-belleza, decoración y restauración","type":"article-journal"},"uris":["http://www.mendeley.com/documents/?uuid=bef27ba6-a854-4aad-95f6-7a3f65d50c47"]},{"id":"ITEM-2","itemData":{"ISBN":"978-84-9116-339-8","author":[{"dropping-particle":"","family":"Monserrat-Gauchi","given":"Juan","non-dropping-particle":"","parse-names":false,"suffix":""},{"dropping-particle":"","family":"Martínez-Sala","given":"Alba-María","non-dropping-particle":"","parse-names":false,"suffix":""}],"container-title":"Casos de estudio de Relaciones Públicas. Sociedad conectada: empresas y universidades","editor":[{"dropping-particle":"","family":"Mut","given":"M.","non-dropping-particle":"","parse-names":false,"suffix":""},{"dropping-particle":"","family":"Oliveira","given":"A.","non-dropping-particle":"","parse-names":false,"suffix":""},{"dropping-particle":"","family":"Alberto Pérez","given":"R.","non-dropping-particle":"","parse-names":false,"suffix":""},{"dropping-particle":"","family":"Xifra","given":"J.","non-dropping-particle":"","parse-names":false,"suffix":""}],"id":"ITEM-2","issued":{"date-parts":[["2016"]]},"page":"59-85","publisher":"Editorial UOC. Colección DIRCOM","publisher-place":"Barcelona","title":"Cambio de paradigma en la interacción de las empresas con sus públicos. La generación de contenidos a través de Facebook","type":"chapter"},"uris":["http://www.mendeley.com/documents/?uuid=27ae2725-d4d0-49d2-b856-67d0b1de2f5d"]}],"mendeley":{"formattedCitation":"(Monserrat-Gauchi et al., 2017; Monserrat-Gauchi &amp; Martínez-Sala, 2016)","plainTextFormattedCitation":"(Monserrat-Gauchi et al., 2017; Monserrat-Gauchi &amp; Martínez-Sala, 2016)","previouslyFormattedCitation":"(Monserrat-Gauchi et al., 2017; Monserrat-Gauchi &amp; Martínez-Sala, 2016)"},"properties":{"noteIndex":0},"schema":"https://github.com/citation-style-language/schema/raw/master/csl-citation.json"}</w:instrText>
      </w:r>
      <w:r w:rsidRPr="00F21E9C">
        <w:rPr>
          <w:rFonts w:ascii="Tahoma" w:eastAsia="Times" w:hAnsi="Tahoma" w:cs="Tahoma"/>
          <w:sz w:val="24"/>
          <w:szCs w:val="24"/>
        </w:rPr>
        <w:fldChar w:fldCharType="separate"/>
      </w:r>
      <w:r w:rsidRPr="00C9773A">
        <w:rPr>
          <w:rFonts w:ascii="Tahoma" w:eastAsia="Times" w:hAnsi="Tahoma" w:cs="Tahoma"/>
          <w:noProof/>
          <w:sz w:val="24"/>
          <w:szCs w:val="24"/>
        </w:rPr>
        <w:t xml:space="preserve">(Monserrat-Gauchi </w:t>
      </w:r>
      <w:r w:rsidRPr="00672817">
        <w:rPr>
          <w:rFonts w:ascii="Tahoma" w:eastAsia="Times" w:hAnsi="Tahoma" w:cs="Tahoma"/>
          <w:i/>
          <w:noProof/>
          <w:sz w:val="24"/>
          <w:szCs w:val="24"/>
        </w:rPr>
        <w:t>et al.</w:t>
      </w:r>
      <w:r w:rsidRPr="00C9773A">
        <w:rPr>
          <w:rFonts w:ascii="Tahoma" w:eastAsia="Times" w:hAnsi="Tahoma" w:cs="Tahoma"/>
          <w:noProof/>
          <w:sz w:val="24"/>
          <w:szCs w:val="24"/>
        </w:rPr>
        <w:t>, 2017; Monserrat-Gauchi &amp; Martínez-Sala, 2016)</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y con el fin de discriminar los efectos del contenido. En este ámbito se confirma que las publicaciones participativas lideran los niveles de interacción por </w:t>
      </w:r>
      <w:r w:rsidRPr="00F21E9C">
        <w:rPr>
          <w:rFonts w:ascii="Tahoma" w:eastAsia="Times" w:hAnsi="Tahoma" w:cs="Tahoma"/>
          <w:i/>
          <w:iCs/>
          <w:sz w:val="24"/>
          <w:szCs w:val="24"/>
        </w:rPr>
        <w:t>tweet</w:t>
      </w:r>
      <w:r w:rsidRPr="00F21E9C">
        <w:rPr>
          <w:rFonts w:ascii="Tahoma" w:eastAsia="Times" w:hAnsi="Tahoma" w:cs="Tahoma"/>
          <w:sz w:val="24"/>
          <w:szCs w:val="24"/>
        </w:rPr>
        <w:t xml:space="preserve">, pese a ser las menos frecuentes. Su escaso número influye en el cómputo global de las tres opciones de interacción donde son superadas por las comerciales a nivel de “me gusta” y “compartir”, en el caso de Twitter, y de “me gusta” y “comentar”, en el de Instagram. En esta red social la influencia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en los niveles de interacción y en el índice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es más notoria tanto con relación a los totales como a los promedios/publicación. En este canal son las publicaciones sobre series propias las que mejores resultados obtienen en términos de “me gusta” y “comentar”, y las de producción ajena en el ámbito del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al igual que ocurre respecto de los promedios/publicación. En cuanto a la finalidad, las participativas consiguen un mejor nivel de </w:t>
      </w:r>
      <w:proofErr w:type="spellStart"/>
      <w:r w:rsidRPr="00F21E9C">
        <w:rPr>
          <w:rFonts w:ascii="Tahoma" w:eastAsia="Times" w:hAnsi="Tahoma" w:cs="Tahoma"/>
          <w:i/>
          <w:iCs/>
          <w:sz w:val="24"/>
          <w:szCs w:val="24"/>
        </w:rPr>
        <w:t>engagement</w:t>
      </w:r>
      <w:proofErr w:type="spellEnd"/>
      <w:r w:rsidRPr="00F21E9C">
        <w:rPr>
          <w:rFonts w:ascii="Tahoma" w:eastAsia="Times" w:hAnsi="Tahoma" w:cs="Tahoma"/>
          <w:i/>
          <w:iCs/>
          <w:sz w:val="24"/>
          <w:szCs w:val="24"/>
        </w:rPr>
        <w:t xml:space="preserve"> online</w:t>
      </w:r>
      <w:r w:rsidRPr="00F21E9C">
        <w:rPr>
          <w:rFonts w:ascii="Tahoma" w:eastAsia="Times" w:hAnsi="Tahoma" w:cs="Tahoma"/>
          <w:sz w:val="24"/>
          <w:szCs w:val="24"/>
        </w:rPr>
        <w:t xml:space="preserve"> en el ámbito de los totales, y de “me gusta” y comentarios, en el de los promedios/publicación.</w:t>
      </w:r>
      <w:r w:rsidRPr="00F21E9C">
        <w:t xml:space="preserve"> </w:t>
      </w:r>
      <w:r w:rsidRPr="00F21E9C">
        <w:rPr>
          <w:rFonts w:ascii="Tahoma" w:eastAsia="Times" w:hAnsi="Tahoma" w:cs="Tahoma"/>
          <w:sz w:val="24"/>
          <w:szCs w:val="24"/>
        </w:rPr>
        <w:t xml:space="preserve">Las diversas aplicaciones facilitadoras pueden clasificarse con facilidad en función de su finalidad y servicio que ofertan (Barrientos-Báez </w:t>
      </w:r>
      <w:r w:rsidRPr="00672817">
        <w:rPr>
          <w:rFonts w:ascii="Tahoma" w:eastAsia="Times" w:hAnsi="Tahoma" w:cs="Tahoma"/>
          <w:i/>
          <w:sz w:val="24"/>
          <w:szCs w:val="24"/>
        </w:rPr>
        <w:t>et al.</w:t>
      </w:r>
      <w:r w:rsidRPr="00F21E9C">
        <w:rPr>
          <w:rFonts w:ascii="Tahoma" w:eastAsia="Times" w:hAnsi="Tahoma" w:cs="Tahoma"/>
          <w:sz w:val="24"/>
          <w:szCs w:val="24"/>
        </w:rPr>
        <w:t>, 2017).</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bCs/>
          <w:sz w:val="24"/>
          <w:szCs w:val="24"/>
        </w:rPr>
      </w:pPr>
      <w:r w:rsidRPr="00F21E9C">
        <w:rPr>
          <w:rFonts w:ascii="Tahoma" w:eastAsia="Times" w:hAnsi="Tahoma" w:cs="Tahoma"/>
          <w:sz w:val="24"/>
          <w:szCs w:val="24"/>
        </w:rPr>
        <w:t xml:space="preserve">Se confirma la incidencia del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en la interacción generada en el perfil de la marca en Twitter a propósito de producciones ajenas a la cadena. Esto revela una estrategia basada en contenidos relativos a producciones de alta repercusión para atraer y captar usuarios incentivando el crecimiento de la comunidad en torno a la marca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{"citationItems":[{"id":"ITEM-1","itemData":{"DOI":"10.6035/2174-0992.2019.18.11","abstract":"Brands have been able to adapt to each specific reality throughout their historical evolution. Its identity, symbolic and intangible, has taken prominence in the face of products and their purely functional benefits. The arrival of the XXIst century carries a series of very profound disruptive changes: technological democratization, hyperconnected global reality, liquid society, microsegmentation, etc. This fact becomes a clear paradigm shift that empowers both users and brands, placing them in a peer relationship where the digital environment conditions the main communication relationships. Brands advance in the professionalization of their strategic and integral management process, offering relevant content that helps them create unique experiences through a powerful engagement with the user. Netflix is ​​one of the brands that has gained the most global notoriety in recent years as a result of its strategic policy, business volume, communication policy and content offer. This question validates the pertinence of this research focused on analyzing, through a prior theoretical development of the discipline and its subsequent adaptation to a case study, the main elements that shape the policy of strategic brand management carried out for this platform of entertainment in streaming. Considering the nature of the study and, once analyzed the main results extracted, we observe how the contents play an absolutely essential role in the overall and strategic management policy of the Netflix brand. The protagonism of the contents in the construction of the brand is transversal and goes from the very concept of business to the implementation of the strategy through its main advertising and promotional communication actions.","author":[{"dropping-particle":"","family":"Mayorga Escalada","given":"Santiago","non-dropping-particle":"","parse-names":false,"suffix":""}],"container-title":"adComunica. Revista Científica de Estrategias, Tendencias e Innovación en Comunicación","id":"ITEM-1","issue":"18","issued":{"date-parts":[["2019"]]},"page":"219-244","title":"Netflix, estrategia y gestión de marca en torno a la relevancia de los contenidos","type":"article-journal"},"uris":["http://www.mendeley.com/documents/?uuid=f817ce57-2809-41c3-83e5-4e0f1f60f89c"]}],"mendeley":{"formattedCitation":"(Mayorga Escalada, 2019)","plainTextFormattedCitation":"(Mayorga Escalada, 2019)","previouslyFormattedCitation":"(Mayorga Escalada, 2019)"},"properties":{"noteIndex":0},"schema":"https://github.com/citation-style-language/schema/raw/master/csl-citation.json"}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(Mayorga Escalada, 2019)</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Pese a esto, en función de los resultados relativos a la finalidad de las publicaciones, se concluye que se puede mejorar la estrategia de comunicación incentivando el carácter multidireccional de la comunicación en las publicaciones sobre series, así como incrementando el número de publicaciones de este tipo. </w:t>
      </w:r>
      <w:r w:rsidRPr="00F21E9C">
        <w:rPr>
          <w:rFonts w:ascii="Tahoma" w:eastAsia="Times" w:hAnsi="Tahoma" w:cs="Tahoma"/>
          <w:bCs/>
          <w:sz w:val="24"/>
          <w:szCs w:val="24"/>
          <w:lang w:val="es-ES_tradnl"/>
        </w:rPr>
        <w:t xml:space="preserve">En Instagram la consideración del </w:t>
      </w:r>
      <w:proofErr w:type="spellStart"/>
      <w:r w:rsidRPr="00F21E9C">
        <w:rPr>
          <w:rFonts w:ascii="Tahoma" w:eastAsia="Times" w:hAnsi="Tahoma" w:cs="Tahoma"/>
          <w:bCs/>
          <w:i/>
          <w:iCs/>
          <w:sz w:val="24"/>
          <w:szCs w:val="24"/>
          <w:lang w:val="es-ES_tradnl"/>
        </w:rPr>
        <w:t>fandom</w:t>
      </w:r>
      <w:proofErr w:type="spellEnd"/>
      <w:r w:rsidRPr="00F21E9C">
        <w:rPr>
          <w:rFonts w:ascii="Tahoma" w:eastAsia="Times" w:hAnsi="Tahoma" w:cs="Tahoma"/>
          <w:bCs/>
          <w:i/>
          <w:iCs/>
          <w:sz w:val="24"/>
          <w:szCs w:val="24"/>
          <w:lang w:val="es-ES_tradnl"/>
        </w:rPr>
        <w:t xml:space="preserve"> </w:t>
      </w:r>
      <w:r w:rsidRPr="00F21E9C">
        <w:rPr>
          <w:rFonts w:ascii="Tahoma" w:eastAsia="Times" w:hAnsi="Tahoma" w:cs="Tahoma"/>
          <w:bCs/>
          <w:sz w:val="24"/>
          <w:szCs w:val="24"/>
          <w:lang w:val="es-ES_tradnl"/>
        </w:rPr>
        <w:t>televisivo es más evidente,</w:t>
      </w:r>
      <w:r w:rsidRPr="00F21E9C">
        <w:rPr>
          <w:rFonts w:ascii="Tahoma" w:eastAsia="Times" w:hAnsi="Tahoma" w:cs="Tahoma"/>
          <w:sz w:val="24"/>
          <w:szCs w:val="24"/>
        </w:rPr>
        <w:t xml:space="preserve"> logrando mejores resultados y</w:t>
      </w:r>
      <w:r w:rsidRPr="00F21E9C">
        <w:rPr>
          <w:rFonts w:ascii="Tahoma" w:eastAsia="Times" w:hAnsi="Tahoma" w:cs="Tahoma"/>
          <w:bCs/>
          <w:sz w:val="24"/>
          <w:szCs w:val="24"/>
          <w:lang w:val="es-ES_tradnl"/>
        </w:rPr>
        <w:t xml:space="preserve"> mostrando que la plataforma es consciente y explota el potencial de este fenómeno entre los adolescentes, público principal de la plataforma. No obstante, como en el caso de Twitter cabe mejorarlos</w:t>
      </w:r>
      <w:r w:rsidRPr="00F21E9C">
        <w:rPr>
          <w:rFonts w:ascii="Tahoma" w:eastAsia="Times" w:hAnsi="Tahoma" w:cs="Tahoma"/>
          <w:sz w:val="24"/>
          <w:szCs w:val="24"/>
        </w:rPr>
        <w:t xml:space="preserve"> dotando de finalidad participativa a las publicaciones sobre series, en mayor medida.</w:t>
      </w:r>
    </w:p>
    <w:p w:rsidR="00D52EA2" w:rsidRPr="00F21E9C" w:rsidRDefault="00D52EA2" w:rsidP="00740778">
      <w:pPr>
        <w:spacing w:after="0"/>
        <w:ind w:firstLine="284"/>
        <w:jc w:val="both"/>
        <w:rPr>
          <w:rFonts w:ascii="Tahoma" w:eastAsia="Times" w:hAnsi="Tahoma" w:cs="Tahoma"/>
          <w:sz w:val="24"/>
          <w:szCs w:val="24"/>
        </w:rPr>
      </w:pPr>
    </w:p>
    <w:p w:rsidR="00D52EA2" w:rsidRPr="00F21E9C" w:rsidRDefault="00D52EA2" w:rsidP="00740778">
      <w:pPr>
        <w:spacing w:after="0"/>
        <w:ind w:firstLine="284"/>
        <w:jc w:val="both"/>
        <w:rPr>
          <w:rFonts w:ascii="Tahoma" w:eastAsia="Times" w:hAnsi="Tahoma" w:cs="Tahoma"/>
          <w:sz w:val="24"/>
          <w:szCs w:val="24"/>
        </w:rPr>
      </w:pPr>
      <w:r w:rsidRPr="00F21E9C">
        <w:rPr>
          <w:rFonts w:ascii="Tahoma" w:eastAsia="Times" w:hAnsi="Tahoma" w:cs="Tahoma"/>
          <w:sz w:val="24"/>
          <w:szCs w:val="24"/>
        </w:rPr>
        <w:t xml:space="preserve"> Las diferencias observadas son otro rasgo positivo a destacar respecto de la estrategia de comunicación digital de </w:t>
      </w:r>
      <w:proofErr w:type="spellStart"/>
      <w:r w:rsidRPr="00F21E9C">
        <w:rPr>
          <w:rFonts w:ascii="Tahoma" w:eastAsia="Times" w:hAnsi="Tahoma" w:cs="Tahoma"/>
          <w:sz w:val="24"/>
          <w:szCs w:val="24"/>
        </w:rPr>
        <w:t>Netflix</w:t>
      </w:r>
      <w:proofErr w:type="spellEnd"/>
      <w:r w:rsidRPr="00F21E9C">
        <w:rPr>
          <w:rFonts w:ascii="Tahoma" w:eastAsia="Times" w:hAnsi="Tahoma" w:cs="Tahoma"/>
          <w:sz w:val="24"/>
          <w:szCs w:val="24"/>
        </w:rPr>
        <w:t xml:space="preserve"> ya que revelan la consideración de las características de cada red social, así como de las expectativas de sus respectivos públicos. </w:t>
      </w:r>
    </w:p>
    <w:p w:rsidR="00D52EA2" w:rsidRPr="00F21E9C" w:rsidRDefault="00D52EA2" w:rsidP="00740778">
      <w:pPr>
        <w:spacing w:after="0"/>
        <w:ind w:firstLine="284"/>
        <w:jc w:val="both"/>
        <w:rPr>
          <w:rFonts w:ascii="Tahoma" w:eastAsia="Times" w:hAnsi="Tahoma" w:cs="Tahoma"/>
          <w:sz w:val="24"/>
          <w:szCs w:val="24"/>
        </w:rPr>
      </w:pPr>
    </w:p>
    <w:p w:rsidR="00D52EA2" w:rsidRPr="00D52EA2" w:rsidRDefault="00D52EA2" w:rsidP="00740778">
      <w:pPr>
        <w:spacing w:after="0"/>
        <w:ind w:firstLine="284"/>
        <w:jc w:val="both"/>
        <w:rPr>
          <w:rFonts w:ascii="Tahoma" w:hAnsi="Tahoma" w:cs="Tahoma"/>
          <w:sz w:val="24"/>
          <w:szCs w:val="24"/>
        </w:rPr>
      </w:pPr>
      <w:r w:rsidRPr="00F21E9C">
        <w:rPr>
          <w:rFonts w:ascii="Tahoma" w:eastAsia="Times" w:hAnsi="Tahoma" w:cs="Tahoma"/>
          <w:sz w:val="24"/>
          <w:szCs w:val="24"/>
        </w:rPr>
        <w:t xml:space="preserve">En el contexto de la televisión social, las redes sociales deben ser integradas por las marcas del sector en sus estrategias de </w:t>
      </w:r>
      <w:r w:rsidRPr="00F21E9C">
        <w:rPr>
          <w:rFonts w:ascii="Tahoma" w:eastAsia="Times" w:hAnsi="Tahoma" w:cs="Tahoma"/>
          <w:i/>
          <w:iCs/>
          <w:sz w:val="24"/>
          <w:szCs w:val="24"/>
        </w:rPr>
        <w:t>marketing</w:t>
      </w:r>
      <w:r w:rsidRPr="00F21E9C">
        <w:rPr>
          <w:rFonts w:ascii="Tahoma" w:eastAsia="Times" w:hAnsi="Tahoma" w:cs="Tahoma"/>
          <w:sz w:val="24"/>
          <w:szCs w:val="24"/>
        </w:rPr>
        <w:t xml:space="preserve"> y comunicación digital </w:t>
      </w:r>
      <w:r w:rsidRPr="00F21E9C">
        <w:rPr>
          <w:rFonts w:ascii="Tahoma" w:eastAsia="Times" w:hAnsi="Tahoma" w:cs="Tahoma"/>
          <w:sz w:val="24"/>
          <w:szCs w:val="24"/>
        </w:rPr>
        <w:fldChar w:fldCharType="begin" w:fldLock="1"/>
      </w:r>
      <w:r>
        <w:rPr>
          <w:rFonts w:ascii="Tahoma" w:eastAsia="Times" w:hAnsi="Tahoma" w:cs="Tahoma"/>
          <w:sz w:val="24"/>
          <w:szCs w:val="24"/>
        </w:rPr>
        <w:instrText>ADDIN CSL_CITATION {"citationItems":[{"id":"ITEM-1","itemData":{"DOI":"10.1177/1527476417728376","ISSN":"15528316","abstract":"In the current participatory television environment, social media serves both a social backchannel for interactions between audience members and a direct line of communication between audiences and production. Because audience activity on social media becomes part of the media brand, it is a priority for the industry to achieve some level of control/influence on that activity. In this article, I discuss writers’ room Twitter accounts as a space used to model and reinforce fan behavior that serves industry interests, arguing that these accounts serve industry needs through the behaviors they promote and recognize. Through analysis of three writers’ room Twitter accounts—for Jane the Virgin, Faking It, and Orange Is the New Black—I show how this process works, as well as the ways in which a show’s individual industrial context shapes the type of fan that is hailed.","author":[{"dropping-particle":"","family":"Navar-Gill","given":"Annemarie","non-dropping-particle":"","parse-names":false,"suffix":""}],"container-title":"Television and New Media","id":"ITEM-1","issue":"5","issued":{"date-parts":[["2018"]]},"page":"415-430","title":"From Strategic Retweets to Group Hangs: Writers’ Room Twitter Accounts and the Productive Ecosystem of TV Social Media Fans","type":"article-journal","volume":"19"},"uris":["http://www.mendeley.com/documents/?uuid=e15ca9b6-af23-4d2a-9b67-7f33aabc63b5"]},{"id":"ITEM-2","itemData":{"DOI":"https://doi.org/10.31207/rch.v9i2.172","abstract":"Las cadenas de televisión han visto en el uso de las redes sociales una oportunidad para favorecer la relación con sus audiencias y conocerlas mejor, y esto ha sido objeto de interés de la profesión y la academia. También lo ha sido el uso de Twitter como parte de su estrategia de comunicación. El desarrollo de los servicios audiovisuales bajo demanda, que alteran los patrones de consumo tradicional, sugiere un marco diferente en estudio del uso de las redes sociales, Twitter en particular. El objetivo de este estudio es el análisis del discurso que mantiene Netflix en la red social Twitter. Nos preguntamos cómo se relaciona la marca con los consumidores fuera de su canal propio –su aplicación, su plataforma-. Es decir, qué tipo de conversaciones mantiene en un espacio público, si lo hace; en qué se centran esas conversaciones y cuál es el peso de los contenidos de su catálogo en ellas. Para ello, combinaremos la creación de un marco teórico para la comprensión del uso de Twitter en un servicio de video bajo demanda con el estudio del caso de Netflix España centrándonos en un mes concreto al año siguiente de su lanzamiento. El objetivo final consiste en extraer tendencias que apunten a prácticas paradigmáticas para el mantenimiento de una relación de engagement a través de Twitter en un servicio de video bajo demanda.","author":[{"dropping-particle":"","family":"Herrero Subías","given":"Mónica","non-dropping-particle":"","parse-names":false,"suffix":""},{"dropping-particle":"","family":"Urgellés Molina","given":"Alicia","non-dropping-particle":"","parse-names":false,"suffix":""}],"container-title":"Revista Comhumanitas","id":"ITEM-2","issue":"2","issued":{"date-parts":[["2018"]]},"page":"175-191","title":"Generación de engagement con un servicio de vídeo bajo demanda en Twitter. El caso de Netflix España","type":"article-journal","volume":"9"},"uris":["http://www.mendeley.com/documents/?uuid=9b5c7665-b171-429d-9318-630b5e5a11dd"]},{"id":"ITEM-3","itemData":{"abstract":"Twitter is a social media service that has managed very successfully to embed itself deeply in the daily lives of its users. Its short message length (140 characters), and one-way connections (‘following’ rather than ‘friending’), lead themselves effectively to random and regular updates on almost any form of personal or professional activity. Thus, it has found uses from the interpersonal (e.g. Boyd et al., 2010) through crisis communication (e.g. Bruns et al., 2012), to political debate (e.g. Burgess &amp; Bruns, 2012). In such uses, Twitter does not necessarily replace existing media channels, such as broadcasting or online mainstream media, but often complements them, providing its users with alternative opportunities to contribute more actively to the wider media sphere. This is true especially where Twitter is used alongside television, as a simple backchannel to live programming or for more sophisticated uses. In this article, we outline four aspects and dimensions, of the way that the old medium of television intersects, and in some cases, interacts with the new medium of Twitter. Tweeting about the television has always been a social media form. It has also consistently provided key ‘talking points’ for western societies. Ever since the notion of an ‘active’ audience was firmly entrenched in media studies several decades ago, it has been recognised as a medium that readily catalyses audience discussion, interaction, fandom and other social activity. Twitter has become an important backchannel through which such social activity is sustained and made more widely visible. Deller (2011: 225) notes that television shows, or topics related to them, frequently appear in Twitter’s ‘trending topics’. For example, recent market research suggests that viewers now use social media with considerable enthusiasm to engage with television programs, particularly where there are explicit on-screen prompts, such as dedicated hashtags (Broadcast Engineering, 2012).","author":[{"dropping-particle":"","family":"Harrington","given":"Stephen","non-dropping-particle":"","parse-names":false,"suffix":""},{"dropping-particle":"","family":"Highfield","given":"Tim","non-dropping-particle":"","parse-names":false,"suffix":""},{"dropping-particle":"","family":"Bruns","given":"Axel","non-dropping-particle":"","parse-names":false,"suffix":""}],"container-title":"Participations: Journal of Audience &amp; Reception Studies","id":"ITEM-3","issue":"1","issued":{"date-parts":[["2013"]]},"page":"405-409","title":"More than a Backchannel: Twitter and Television","type":"article-journal","volume":"10"},"uris":["http://www.mendeley.com/documents/?uuid=3ab32787-a172-4ea9-9f31-44fca46d241e"]}],"mendeley":{"formattedCitation":"(Harrington et al., 2013; Herrero Subías &amp; Urgellés Molina, 2018; Navar-Gill, 2018)","plainTextFormattedCitation":"(Harrington et al., 2013; Herrero Subías &amp; Urgellés Molina, 2018; Navar-Gill, 2018)","previouslyFormattedCitation":"(Harrington et al., 2013; Herrero Subías &amp; Urgellés Molina, 2018; Navar-Gill, 2018)"},"properties":{"noteIndex":0},"schema":"https://github.com/citation-style-language/schema/raw/master/csl-citation.json"}</w:instrText>
      </w:r>
      <w:r w:rsidRPr="00F21E9C">
        <w:rPr>
          <w:rFonts w:ascii="Tahoma" w:eastAsia="Times" w:hAnsi="Tahoma" w:cs="Tahoma"/>
          <w:sz w:val="24"/>
          <w:szCs w:val="24"/>
        </w:rPr>
        <w:fldChar w:fldCharType="separate"/>
      </w:r>
      <w:r w:rsidRPr="00C9773A">
        <w:rPr>
          <w:rFonts w:ascii="Tahoma" w:eastAsia="Times" w:hAnsi="Tahoma" w:cs="Tahoma"/>
          <w:noProof/>
          <w:sz w:val="24"/>
          <w:szCs w:val="24"/>
        </w:rPr>
        <w:t xml:space="preserve">(Harrington </w:t>
      </w:r>
      <w:r w:rsidRPr="00672817">
        <w:rPr>
          <w:rFonts w:ascii="Tahoma" w:eastAsia="Times" w:hAnsi="Tahoma" w:cs="Tahoma"/>
          <w:i/>
          <w:noProof/>
          <w:sz w:val="24"/>
          <w:szCs w:val="24"/>
        </w:rPr>
        <w:t>et al.</w:t>
      </w:r>
      <w:r w:rsidRPr="00C9773A">
        <w:rPr>
          <w:rFonts w:ascii="Tahoma" w:eastAsia="Times" w:hAnsi="Tahoma" w:cs="Tahoma"/>
          <w:noProof/>
          <w:sz w:val="24"/>
          <w:szCs w:val="24"/>
        </w:rPr>
        <w:t>, 2013; Herrero Subías &amp; Urgellés Molina, 2018; Navar-Gill, 2018)</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Los contenidos vertidos en estos espacios contribuyen a la creación y desarrollo de las marcas que, en el momento actual, están en manos de los usuarios, por ello es una prioridad que </w:t>
      </w:r>
      <w:r>
        <w:rPr>
          <w:rFonts w:ascii="Tahoma" w:eastAsia="Times" w:hAnsi="Tahoma" w:cs="Tahoma"/>
          <w:sz w:val="24"/>
          <w:szCs w:val="24"/>
        </w:rPr>
        <w:t>sus responsables</w:t>
      </w:r>
      <w:r w:rsidRPr="00F21E9C">
        <w:rPr>
          <w:rFonts w:ascii="Tahoma" w:eastAsia="Times" w:hAnsi="Tahoma" w:cs="Tahoma"/>
          <w:sz w:val="24"/>
          <w:szCs w:val="24"/>
        </w:rPr>
        <w:t xml:space="preserve"> incentiven y monitoricen estos canales y las conversaciones que en ellos se generan, siendo crucial el estudio de sus detonantes </w:t>
      </w:r>
      <w:r w:rsidRPr="00F21E9C">
        <w:rPr>
          <w:rFonts w:ascii="Tahoma" w:eastAsia="Times" w:hAnsi="Tahoma" w:cs="Tahoma"/>
          <w:sz w:val="24"/>
          <w:szCs w:val="24"/>
        </w:rPr>
        <w:fldChar w:fldCharType="begin" w:fldLock="1"/>
      </w:r>
      <w:r w:rsidRPr="00F21E9C">
        <w:rPr>
          <w:rFonts w:ascii="Tahoma" w:eastAsia="Times" w:hAnsi="Tahoma" w:cs="Tahoma"/>
          <w:sz w:val="24"/>
          <w:szCs w:val="24"/>
        </w:rPr>
        <w:instrText>ADDIN CSL_CITATION {"citationItems":[{"id":"ITEM-1","itemData":{"DOI":"10.3145/epi.2018.nov.12","ISBN":"0000000310","ISSN":"1386-6710","abstract":"Resumen: Esta investigación analiza cómo la plataforma de televisión en streaming Netflix consigue generar comunidad en la red social Twitter. A través de un análisis de contenido (N=1.048 tweets, n=100 tweets) se responde a las características que presentan aquellos mensajes que más conversación generan, más se comparten y más gustan. Los resultados reflejan lo que la audiencia social valora de una marca audiovisual para relacionarse con la misma. Se concluye que contar con una estrategia de creación propia, promocionar e informar sobre series y emplear el lenguaje propio de la red –como el hashtag acompañado de recursos visuales- incrementa la participación de los seguidores. Además, plantear preguntas para estimular la participación, recurrir al humor o al suspense ayuda en este cometido. ***** Abstract: This paper analyses how the streaming television platform Netflix creates a community in Twitter. Through a content analysis (N=1,048 tweets, n=100 tweets) we explore the characteristics of the messages with more answers, more likes and more retweets. Results allow to ascertain what the audience finds more relatable in a TV brand. Conclusions show that having a creative strategy, promote and inform about series, and using the social media language, like hashtags and visual resources, contribute to the follower’s participation. Asking questions looking for participations or using humour or intrigue also helps towards this objective.","author":[{"dropping-particle":"","family":"Fernández-Gómez","given":"Erika","non-dropping-particle":"","parse-names":false,"suffix":""},{"dropping-particle":"","family":"Martín-Quevedo","given":"Juan","non-dropping-particle":"","parse-names":false,"suffix":""}],"container-title":"El Profesional de la Información","id":"ITEM-1","issue":"6","issued":{"date-parts":[["2018"]]},"page":"1292","title":"La estrategia de engagement de Netflix España en Twitter","type":"article-journal","volume":"27"},"uris":["http://www.mendeley.com/documents/?uuid=8dcc95d0-fef3-455b-ba0c-5a9c17ea0c53"]}],"mendeley":{"formattedCitation":"(Fernández-Gómez &amp; Martín-Quevedo, 2018b)","plainTextFormattedCitation":"(Fernández-Gómez &amp; Martín-Quevedo, 2018b)","previouslyFormattedCitation":"(Fernández-Gómez &amp; Martín-Quevedo, 2018b)"},"properties":{"noteIndex":0},"schema":"https://github.com/citation-style-language/schema/raw/master/csl-citation.json"}</w:instrText>
      </w:r>
      <w:r w:rsidRPr="00F21E9C">
        <w:rPr>
          <w:rFonts w:ascii="Tahoma" w:eastAsia="Times" w:hAnsi="Tahoma" w:cs="Tahoma"/>
          <w:sz w:val="24"/>
          <w:szCs w:val="24"/>
        </w:rPr>
        <w:fldChar w:fldCharType="separate"/>
      </w:r>
      <w:r w:rsidRPr="00F21E9C">
        <w:rPr>
          <w:rFonts w:ascii="Tahoma" w:eastAsia="Times" w:hAnsi="Tahoma" w:cs="Tahoma"/>
          <w:noProof/>
          <w:sz w:val="24"/>
          <w:szCs w:val="24"/>
        </w:rPr>
        <w:t>(Fernández-Gómez &amp; Martín-Quevedo, 2018b)</w:t>
      </w:r>
      <w:r w:rsidRPr="00F21E9C">
        <w:rPr>
          <w:rFonts w:ascii="Tahoma" w:eastAsia="Times" w:hAnsi="Tahoma" w:cs="Tahoma"/>
          <w:sz w:val="24"/>
          <w:szCs w:val="24"/>
        </w:rPr>
        <w:fldChar w:fldCharType="end"/>
      </w:r>
      <w:r w:rsidRPr="00F21E9C">
        <w:rPr>
          <w:rFonts w:ascii="Tahoma" w:eastAsia="Times" w:hAnsi="Tahoma" w:cs="Tahoma"/>
          <w:sz w:val="24"/>
          <w:szCs w:val="24"/>
        </w:rPr>
        <w:t xml:space="preserve">. Entre estos, esta investigación se centra en el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confirmando su potencial, pero también una explotación incipiente, sobre todo en Twitter, resultando una interesante aportación tanto para el ámbito académico como para el profesional</w:t>
      </w:r>
      <w:r>
        <w:rPr>
          <w:rFonts w:ascii="Tahoma" w:eastAsia="Times" w:hAnsi="Tahoma" w:cs="Tahoma"/>
          <w:sz w:val="24"/>
          <w:szCs w:val="24"/>
        </w:rPr>
        <w:t xml:space="preserve"> que radica en el potencial del </w:t>
      </w:r>
      <w:r w:rsidRPr="00F21E9C">
        <w:rPr>
          <w:rFonts w:ascii="Tahoma" w:hAnsi="Tahoma" w:cs="Tahoma"/>
          <w:sz w:val="24"/>
          <w:szCs w:val="24"/>
        </w:rPr>
        <w:t xml:space="preserve">séptimo arte </w:t>
      </w:r>
      <w:r>
        <w:rPr>
          <w:rFonts w:ascii="Tahoma" w:hAnsi="Tahoma" w:cs="Tahoma"/>
          <w:sz w:val="24"/>
          <w:szCs w:val="24"/>
        </w:rPr>
        <w:t>respecto del</w:t>
      </w:r>
      <w:r w:rsidRPr="00F21E9C">
        <w:rPr>
          <w:rFonts w:ascii="Tahoma" w:hAnsi="Tahoma" w:cs="Tahoma"/>
          <w:sz w:val="24"/>
          <w:szCs w:val="24"/>
        </w:rPr>
        <w:t xml:space="preserve"> establecimiento de una cultura corporativa en nuestra acción profesional </w:t>
      </w:r>
      <w:r>
        <w:rPr>
          <w:rFonts w:ascii="Tahoma" w:hAnsi="Tahoma" w:cs="Tahoma"/>
          <w:sz w:val="24"/>
          <w:szCs w:val="24"/>
        </w:rPr>
        <w:fldChar w:fldCharType="begin" w:fldLock="1"/>
      </w:r>
      <w:r>
        <w:rPr>
          <w:rFonts w:ascii="Tahoma" w:hAnsi="Tahoma" w:cs="Tahoma"/>
          <w:sz w:val="24"/>
          <w:szCs w:val="24"/>
        </w:rPr>
        <w:instrText>ADDIN CSL_CITATION {"citationItems":[{"id":"ITEM-1","itemData":{"ISBN":"978-84-1853453-9","author":[{"dropping-particle":"","family":"Cabezuelo-Lorenzo","given":"F.","non-dropping-particle":"","parse-names":false,"suffix":""},{"dropping-particle":"","family":"Barrientos-Báez","given":"A.","non-dropping-particle":"","parse-names":false,"suffix":""},{"dropping-particle":"","family":"Caldevilla-Domínguez","given":"D.","non-dropping-particle":"","parse-names":false,"suffix":""}],"container-title":"Alfabetización en la nueva docencia.","id":"ITEM-1","issued":{"date-parts":[["2021"]]},"publisher":"Editorial Tirant lo Blanch","title":"Propuesta para la transferencia del conocimiento e innovación en la enseñanza-aprendizaje del liderazgo: lecciones de cine","type":"chapter"},"uris":["http://www.mendeley.com/documents/?uuid=b53d1edf-7dc9-422f-ada1-5b898f55eae6"]}],"mendeley":{"formattedCitation":"(F. Cabezuelo-Lorenzo et al., 2021)","plainTextFormattedCitation":"(F. Cabezuelo-Lorenzo et al., 2021)","previouslyFormattedCitation":"(Cabezuelo-Lorenzo, F. Barrientos-Báez &amp; Caldevilla-Domínguez, 2021)"},"properties":{"noteIndex":0},"schema":"https://github.com/citation-style-language/schema/raw/master/csl-citation.json"}</w:instrText>
      </w:r>
      <w:r>
        <w:rPr>
          <w:rFonts w:ascii="Tahoma" w:hAnsi="Tahoma" w:cs="Tahoma"/>
          <w:sz w:val="24"/>
          <w:szCs w:val="24"/>
        </w:rPr>
        <w:fldChar w:fldCharType="separate"/>
      </w:r>
      <w:r w:rsidRPr="004D77C9">
        <w:rPr>
          <w:rFonts w:ascii="Tahoma" w:hAnsi="Tahoma" w:cs="Tahoma"/>
          <w:noProof/>
          <w:sz w:val="24"/>
          <w:szCs w:val="24"/>
        </w:rPr>
        <w:t xml:space="preserve">(F. Cabezuelo-Lorenzo </w:t>
      </w:r>
      <w:r w:rsidRPr="00672817">
        <w:rPr>
          <w:rFonts w:ascii="Tahoma" w:hAnsi="Tahoma" w:cs="Tahoma"/>
          <w:i/>
          <w:noProof/>
          <w:sz w:val="24"/>
          <w:szCs w:val="24"/>
        </w:rPr>
        <w:t>et al.</w:t>
      </w:r>
      <w:r w:rsidRPr="004D77C9">
        <w:rPr>
          <w:rFonts w:ascii="Tahoma" w:hAnsi="Tahoma" w:cs="Tahoma"/>
          <w:noProof/>
          <w:sz w:val="24"/>
          <w:szCs w:val="24"/>
        </w:rPr>
        <w:t>, 2021)</w:t>
      </w:r>
      <w:r>
        <w:rPr>
          <w:rFonts w:ascii="Tahoma" w:hAnsi="Tahoma" w:cs="Tahoma"/>
          <w:sz w:val="24"/>
          <w:szCs w:val="24"/>
        </w:rPr>
        <w:fldChar w:fldCharType="end"/>
      </w:r>
      <w:r w:rsidRPr="00F21E9C">
        <w:rPr>
          <w:rFonts w:ascii="Tahoma" w:hAnsi="Tahoma" w:cs="Tahoma"/>
          <w:sz w:val="24"/>
          <w:szCs w:val="24"/>
        </w:rPr>
        <w:t>.</w:t>
      </w:r>
      <w:r>
        <w:rPr>
          <w:rFonts w:ascii="Tahoma" w:hAnsi="Tahoma" w:cs="Tahoma"/>
          <w:sz w:val="24"/>
          <w:szCs w:val="24"/>
        </w:rPr>
        <w:t xml:space="preserve"> </w:t>
      </w:r>
      <w:r w:rsidRPr="00F21E9C">
        <w:rPr>
          <w:rFonts w:ascii="Tahoma" w:eastAsia="Times" w:hAnsi="Tahoma" w:cs="Tahoma"/>
          <w:sz w:val="24"/>
          <w:szCs w:val="24"/>
        </w:rPr>
        <w:t xml:space="preserve">Así mismo, las numerosas ventajas </w:t>
      </w:r>
      <w:r>
        <w:rPr>
          <w:rFonts w:ascii="Tahoma" w:eastAsia="Times" w:hAnsi="Tahoma" w:cs="Tahoma"/>
          <w:sz w:val="24"/>
          <w:szCs w:val="24"/>
        </w:rPr>
        <w:t xml:space="preserve">del </w:t>
      </w:r>
      <w:r w:rsidRPr="00F21E9C">
        <w:rPr>
          <w:rFonts w:ascii="Tahoma" w:eastAsia="Times" w:hAnsi="Tahoma" w:cs="Tahoma"/>
          <w:sz w:val="24"/>
          <w:szCs w:val="24"/>
        </w:rPr>
        <w:t>fenómeno</w:t>
      </w:r>
      <w:r w:rsidRPr="004D77C9">
        <w:rPr>
          <w:rFonts w:ascii="Tahoma" w:eastAsia="Times" w:hAnsi="Tahoma" w:cs="Tahoma"/>
          <w:i/>
          <w:iCs/>
          <w:sz w:val="24"/>
          <w:szCs w:val="24"/>
        </w:rPr>
        <w:t xml:space="preserve"> </w:t>
      </w:r>
      <w:proofErr w:type="spellStart"/>
      <w:r w:rsidRPr="00F21E9C">
        <w:rPr>
          <w:rFonts w:ascii="Tahoma" w:eastAsia="Times" w:hAnsi="Tahoma" w:cs="Tahoma"/>
          <w:i/>
          <w:iCs/>
          <w:sz w:val="24"/>
          <w:szCs w:val="24"/>
        </w:rPr>
        <w:t>fandom</w:t>
      </w:r>
      <w:proofErr w:type="spellEnd"/>
      <w:r w:rsidRPr="00F21E9C">
        <w:rPr>
          <w:rFonts w:ascii="Tahoma" w:eastAsia="Times" w:hAnsi="Tahoma" w:cs="Tahoma"/>
          <w:sz w:val="24"/>
          <w:szCs w:val="24"/>
        </w:rPr>
        <w:t xml:space="preserve"> televisivo plantean nuevas líneas de investigación que subrayan su interés. A este respecto, se plantea ampliar la muestra de publicaciones y redes sociales, así como de variables a analizar para identificar otros posibles factores.</w:t>
      </w:r>
    </w:p>
    <w:p w:rsidR="00D52EA2" w:rsidRDefault="00D52EA2" w:rsidP="00740778">
      <w:pPr>
        <w:autoSpaceDE w:val="0"/>
        <w:autoSpaceDN w:val="0"/>
        <w:adjustRightInd w:val="0"/>
        <w:spacing w:after="0"/>
        <w:jc w:val="both"/>
        <w:rPr>
          <w:rFonts w:ascii="Tahoma" w:hAnsi="Tahoma" w:cs="Tahoma"/>
          <w:b/>
          <w:bCs/>
          <w:color w:val="000000"/>
          <w:sz w:val="24"/>
          <w:szCs w:val="24"/>
        </w:rPr>
      </w:pPr>
    </w:p>
    <w:p w:rsidR="001777FE" w:rsidRPr="00F21E9C" w:rsidRDefault="001777FE" w:rsidP="00740778">
      <w:pPr>
        <w:autoSpaceDE w:val="0"/>
        <w:autoSpaceDN w:val="0"/>
        <w:adjustRightInd w:val="0"/>
        <w:spacing w:after="0"/>
        <w:jc w:val="both"/>
        <w:rPr>
          <w:rFonts w:ascii="Tahoma" w:hAnsi="Tahoma" w:cs="Tahoma"/>
          <w:b/>
          <w:bCs/>
          <w:color w:val="000000"/>
          <w:sz w:val="24"/>
          <w:szCs w:val="24"/>
        </w:rPr>
      </w:pPr>
    </w:p>
    <w:p w:rsidR="00D52EA2" w:rsidRPr="00F21E9C" w:rsidRDefault="00D52EA2" w:rsidP="00740778">
      <w:pPr>
        <w:autoSpaceDE w:val="0"/>
        <w:autoSpaceDN w:val="0"/>
        <w:adjustRightInd w:val="0"/>
        <w:spacing w:after="0"/>
        <w:jc w:val="both"/>
        <w:rPr>
          <w:rFonts w:ascii="Tahoma" w:hAnsi="Tahoma" w:cs="Tahoma"/>
          <w:sz w:val="24"/>
          <w:szCs w:val="24"/>
        </w:rPr>
      </w:pPr>
      <w:r w:rsidRPr="00F21E9C">
        <w:rPr>
          <w:rFonts w:ascii="Tahoma" w:hAnsi="Tahoma" w:cs="Tahoma"/>
          <w:b/>
          <w:bCs/>
          <w:color w:val="000000"/>
          <w:sz w:val="24"/>
          <w:szCs w:val="24"/>
        </w:rPr>
        <w:t xml:space="preserve">6. REFERENCIAS </w:t>
      </w:r>
    </w:p>
    <w:p w:rsidR="00D52EA2" w:rsidRDefault="00D52EA2" w:rsidP="00740778">
      <w:pPr>
        <w:autoSpaceDE w:val="0"/>
        <w:autoSpaceDN w:val="0"/>
        <w:adjustRightInd w:val="0"/>
        <w:spacing w:after="0"/>
        <w:ind w:left="284" w:hanging="284"/>
        <w:jc w:val="both"/>
        <w:rPr>
          <w:rFonts w:ascii="Tahoma" w:hAnsi="Tahoma" w:cs="Tahoma"/>
          <w:color w:val="00B050"/>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Acevedo-</w:t>
      </w:r>
      <w:proofErr w:type="spellStart"/>
      <w:r w:rsidRPr="00407328">
        <w:rPr>
          <w:rFonts w:ascii="Tahoma" w:hAnsi="Tahoma" w:cs="Tahoma"/>
          <w:sz w:val="24"/>
          <w:szCs w:val="24"/>
        </w:rPr>
        <w:t>Merlano</w:t>
      </w:r>
      <w:proofErr w:type="spellEnd"/>
      <w:r w:rsidRPr="00407328">
        <w:rPr>
          <w:rFonts w:ascii="Tahoma" w:hAnsi="Tahoma" w:cs="Tahoma"/>
          <w:sz w:val="24"/>
          <w:szCs w:val="24"/>
        </w:rPr>
        <w:t xml:space="preserve">, Á. (2020). El animé como lienzo para analizar las tensiones entre prácticas epistémicas ancestrales y </w:t>
      </w:r>
      <w:proofErr w:type="spellStart"/>
      <w:r w:rsidRPr="00407328">
        <w:rPr>
          <w:rFonts w:ascii="Tahoma" w:hAnsi="Tahoma" w:cs="Tahoma"/>
          <w:sz w:val="24"/>
          <w:szCs w:val="24"/>
        </w:rPr>
        <w:t>tecnocientíficas</w:t>
      </w:r>
      <w:proofErr w:type="spellEnd"/>
      <w:r w:rsidRPr="00407328">
        <w:rPr>
          <w:rFonts w:ascii="Tahoma" w:hAnsi="Tahoma" w:cs="Tahoma"/>
          <w:sz w:val="24"/>
          <w:szCs w:val="24"/>
        </w:rPr>
        <w:t xml:space="preserve">. Utopía y Praxis Latinoamericana. Revista Internacional de Filosofía y Teoría Social, 25(89), 211–226.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Álvarez Gandolfi, F. (2016). </w:t>
      </w:r>
      <w:proofErr w:type="spellStart"/>
      <w:r w:rsidRPr="00407328">
        <w:rPr>
          <w:rFonts w:ascii="Tahoma" w:hAnsi="Tahoma" w:cs="Tahoma"/>
          <w:sz w:val="24"/>
          <w:szCs w:val="24"/>
        </w:rPr>
        <w:t>Cibercultura</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Otaku</w:t>
      </w:r>
      <w:proofErr w:type="spellEnd"/>
      <w:r w:rsidRPr="00407328">
        <w:rPr>
          <w:rFonts w:ascii="Tahoma" w:hAnsi="Tahoma" w:cs="Tahoma"/>
          <w:sz w:val="24"/>
          <w:szCs w:val="24"/>
        </w:rPr>
        <w:t xml:space="preserve">, un análisis </w:t>
      </w:r>
      <w:proofErr w:type="spellStart"/>
      <w:r w:rsidRPr="00407328">
        <w:rPr>
          <w:rFonts w:ascii="Tahoma" w:hAnsi="Tahoma" w:cs="Tahoma"/>
          <w:sz w:val="24"/>
          <w:szCs w:val="24"/>
        </w:rPr>
        <w:t>interdiscursivo</w:t>
      </w:r>
      <w:proofErr w:type="spellEnd"/>
      <w:r w:rsidRPr="00407328">
        <w:rPr>
          <w:rFonts w:ascii="Tahoma" w:hAnsi="Tahoma" w:cs="Tahoma"/>
          <w:sz w:val="24"/>
          <w:szCs w:val="24"/>
        </w:rPr>
        <w:t xml:space="preserve"> de identidades fan puestas en escena en grupos de Facebook. Perspectivas de La Comunicación, 9(2), 31–57.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rPr>
        <w:t>Armírola</w:t>
      </w:r>
      <w:proofErr w:type="spellEnd"/>
      <w:r w:rsidRPr="00407328">
        <w:rPr>
          <w:rFonts w:ascii="Tahoma" w:hAnsi="Tahoma" w:cs="Tahoma"/>
          <w:sz w:val="24"/>
          <w:szCs w:val="24"/>
        </w:rPr>
        <w:t xml:space="preserve"> Garcés, L. P., García Nieto, M. T., &amp; Romero González, G. C. (2020). La comunicación digital en </w:t>
      </w:r>
      <w:proofErr w:type="gramStart"/>
      <w:r w:rsidRPr="00407328">
        <w:rPr>
          <w:rFonts w:ascii="Tahoma" w:hAnsi="Tahoma" w:cs="Tahoma"/>
          <w:sz w:val="24"/>
          <w:szCs w:val="24"/>
        </w:rPr>
        <w:t>las micro</w:t>
      </w:r>
      <w:proofErr w:type="gramEnd"/>
      <w:r w:rsidRPr="00407328">
        <w:rPr>
          <w:rFonts w:ascii="Tahoma" w:hAnsi="Tahoma" w:cs="Tahoma"/>
          <w:sz w:val="24"/>
          <w:szCs w:val="24"/>
        </w:rPr>
        <w:t xml:space="preserve"> y pequeñas empresas: El caso del sector cultural del departamento colombiano de Bolívar. Revista de Comunicación de La SEECI, 52, 149–169. http://doi.org/10.15198/seeci.2020.52.149-169</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lang w:val="en-US"/>
        </w:rPr>
      </w:pPr>
      <w:proofErr w:type="spellStart"/>
      <w:r w:rsidRPr="00407328">
        <w:rPr>
          <w:rFonts w:ascii="Tahoma" w:hAnsi="Tahoma" w:cs="Tahoma"/>
          <w:sz w:val="24"/>
          <w:szCs w:val="24"/>
        </w:rPr>
        <w:t>Atarama</w:t>
      </w:r>
      <w:proofErr w:type="spellEnd"/>
      <w:r w:rsidRPr="00407328">
        <w:rPr>
          <w:rFonts w:ascii="Tahoma" w:hAnsi="Tahoma" w:cs="Tahoma"/>
          <w:sz w:val="24"/>
          <w:szCs w:val="24"/>
        </w:rPr>
        <w:t xml:space="preserve">-Rojas, T., &amp; Requena Zapata, S. (2018). Narrativa </w:t>
      </w:r>
      <w:proofErr w:type="spellStart"/>
      <w:r w:rsidRPr="00407328">
        <w:rPr>
          <w:rFonts w:ascii="Tahoma" w:hAnsi="Tahoma" w:cs="Tahoma"/>
          <w:sz w:val="24"/>
          <w:szCs w:val="24"/>
        </w:rPr>
        <w:t>Transmedia</w:t>
      </w:r>
      <w:proofErr w:type="spellEnd"/>
      <w:r w:rsidRPr="00407328">
        <w:rPr>
          <w:rFonts w:ascii="Tahoma" w:hAnsi="Tahoma" w:cs="Tahoma"/>
          <w:sz w:val="24"/>
          <w:szCs w:val="24"/>
        </w:rPr>
        <w:t xml:space="preserve">: Análisis de la participación de la audiencia en la serie 13 </w:t>
      </w:r>
      <w:proofErr w:type="spellStart"/>
      <w:r w:rsidRPr="00407328">
        <w:rPr>
          <w:rFonts w:ascii="Tahoma" w:hAnsi="Tahoma" w:cs="Tahoma"/>
          <w:sz w:val="24"/>
          <w:szCs w:val="24"/>
        </w:rPr>
        <w:t>reasons</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why</w:t>
      </w:r>
      <w:proofErr w:type="spellEnd"/>
      <w:r w:rsidRPr="00407328">
        <w:rPr>
          <w:rFonts w:ascii="Tahoma" w:hAnsi="Tahoma" w:cs="Tahoma"/>
          <w:sz w:val="24"/>
          <w:szCs w:val="24"/>
        </w:rPr>
        <w:t xml:space="preserve"> para la aproximación al tema del suicidio. </w:t>
      </w:r>
      <w:r w:rsidRPr="00407328">
        <w:rPr>
          <w:rFonts w:ascii="Tahoma" w:hAnsi="Tahoma" w:cs="Tahoma"/>
          <w:sz w:val="24"/>
          <w:szCs w:val="24"/>
          <w:lang w:val="en-US"/>
        </w:rPr>
        <w:t xml:space="preserve">Fonseca, Journal of Communication, 17, 193–213. </w:t>
      </w:r>
      <w:hyperlink r:id="rId27" w:history="1">
        <w:r w:rsidRPr="00407328">
          <w:rPr>
            <w:rStyle w:val="Hipervnculo"/>
            <w:rFonts w:ascii="Tahoma" w:hAnsi="Tahoma" w:cs="Tahoma"/>
            <w:sz w:val="24"/>
            <w:szCs w:val="24"/>
            <w:lang w:val="en-US"/>
          </w:rPr>
          <w:t>https://doi.org/10.14201/fjc201817193213</w:t>
        </w:r>
      </w:hyperlink>
      <w:r w:rsidRPr="00407328">
        <w:rPr>
          <w:rFonts w:ascii="Tahoma" w:hAnsi="Tahoma" w:cs="Tahoma"/>
          <w:sz w:val="24"/>
          <w:szCs w:val="24"/>
          <w:lang w:val="en-US"/>
        </w:rPr>
        <w:t xml:space="preserve"> </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lang w:val="en-US"/>
        </w:rPr>
        <w:t xml:space="preserve">Barrientos-Bueno, M. (2015). </w:t>
      </w:r>
      <w:r w:rsidRPr="00407328">
        <w:rPr>
          <w:rFonts w:ascii="Tahoma" w:hAnsi="Tahoma" w:cs="Tahoma"/>
          <w:sz w:val="24"/>
          <w:szCs w:val="24"/>
        </w:rPr>
        <w:t xml:space="preserve">Expansión narrativa de Víctor Ros: </w:t>
      </w:r>
      <w:proofErr w:type="spellStart"/>
      <w:r w:rsidRPr="00407328">
        <w:rPr>
          <w:rFonts w:ascii="Tahoma" w:hAnsi="Tahoma" w:cs="Tahoma"/>
          <w:sz w:val="24"/>
          <w:szCs w:val="24"/>
        </w:rPr>
        <w:t>Transmedia</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storytelling</w:t>
      </w:r>
      <w:proofErr w:type="spellEnd"/>
      <w:r w:rsidRPr="00407328">
        <w:rPr>
          <w:rFonts w:ascii="Tahoma" w:hAnsi="Tahoma" w:cs="Tahoma"/>
          <w:sz w:val="24"/>
          <w:szCs w:val="24"/>
        </w:rPr>
        <w:t xml:space="preserve"> en twitter. </w:t>
      </w:r>
      <w:proofErr w:type="spellStart"/>
      <w:r w:rsidRPr="00407328">
        <w:rPr>
          <w:rFonts w:ascii="Tahoma" w:hAnsi="Tahoma" w:cs="Tahoma"/>
          <w:sz w:val="24"/>
          <w:szCs w:val="24"/>
        </w:rPr>
        <w:t>Opcion</w:t>
      </w:r>
      <w:proofErr w:type="spellEnd"/>
      <w:r w:rsidRPr="00407328">
        <w:rPr>
          <w:rFonts w:ascii="Tahoma" w:hAnsi="Tahoma" w:cs="Tahoma"/>
          <w:sz w:val="24"/>
          <w:szCs w:val="24"/>
        </w:rPr>
        <w:t>, 31(</w:t>
      </w:r>
      <w:proofErr w:type="spellStart"/>
      <w:r w:rsidRPr="00407328">
        <w:rPr>
          <w:rFonts w:ascii="Tahoma" w:hAnsi="Tahoma" w:cs="Tahoma"/>
          <w:sz w:val="24"/>
          <w:szCs w:val="24"/>
        </w:rPr>
        <w:t>Special</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Issue</w:t>
      </w:r>
      <w:proofErr w:type="spellEnd"/>
      <w:r w:rsidRPr="00407328">
        <w:rPr>
          <w:rFonts w:ascii="Tahoma" w:hAnsi="Tahoma" w:cs="Tahoma"/>
          <w:sz w:val="24"/>
          <w:szCs w:val="24"/>
        </w:rPr>
        <w:t xml:space="preserve"> 3), 161–181.</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lang w:val="en-US"/>
        </w:rPr>
      </w:pPr>
      <w:proofErr w:type="spellStart"/>
      <w:r w:rsidRPr="00407328">
        <w:rPr>
          <w:rFonts w:ascii="Tahoma" w:hAnsi="Tahoma" w:cs="Tahoma"/>
          <w:sz w:val="24"/>
          <w:szCs w:val="24"/>
        </w:rPr>
        <w:t>Batthyány</w:t>
      </w:r>
      <w:proofErr w:type="spellEnd"/>
      <w:r w:rsidRPr="00407328">
        <w:rPr>
          <w:rFonts w:ascii="Tahoma" w:hAnsi="Tahoma" w:cs="Tahoma"/>
          <w:sz w:val="24"/>
          <w:szCs w:val="24"/>
        </w:rPr>
        <w:t xml:space="preserve">, K., &amp; Cabrera, M. (2011). Metodología de la investigación en Ciencias Sociales. </w:t>
      </w:r>
      <w:proofErr w:type="spellStart"/>
      <w:r w:rsidRPr="00407328">
        <w:rPr>
          <w:rFonts w:ascii="Tahoma" w:hAnsi="Tahoma" w:cs="Tahoma"/>
          <w:sz w:val="24"/>
          <w:szCs w:val="24"/>
          <w:lang w:val="en-US"/>
        </w:rPr>
        <w:t>Udelar</w:t>
      </w:r>
      <w:proofErr w:type="spellEnd"/>
      <w:r w:rsidRPr="00407328">
        <w:rPr>
          <w:rFonts w:ascii="Tahoma" w:hAnsi="Tahoma" w:cs="Tahoma"/>
          <w:sz w:val="24"/>
          <w:szCs w:val="24"/>
          <w:lang w:val="en-US"/>
        </w:rPr>
        <w:t xml:space="preserve">, CSE. </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lang w:val="en-US"/>
        </w:rPr>
        <w:t>Becattini</w:t>
      </w:r>
      <w:proofErr w:type="spellEnd"/>
      <w:r w:rsidRPr="00407328">
        <w:rPr>
          <w:rFonts w:ascii="Tahoma" w:hAnsi="Tahoma" w:cs="Tahoma"/>
          <w:sz w:val="24"/>
          <w:szCs w:val="24"/>
          <w:lang w:val="en-US"/>
        </w:rPr>
        <w:t xml:space="preserve">, E. (2018). When we were young: Netflix and the teen audience. </w:t>
      </w:r>
      <w:proofErr w:type="spellStart"/>
      <w:r w:rsidRPr="00407328">
        <w:rPr>
          <w:rFonts w:ascii="Tahoma" w:hAnsi="Tahoma" w:cs="Tahoma"/>
          <w:sz w:val="24"/>
          <w:szCs w:val="24"/>
        </w:rPr>
        <w:t>Comunicazioni</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Sociali</w:t>
      </w:r>
      <w:proofErr w:type="spellEnd"/>
      <w:r w:rsidRPr="00407328">
        <w:rPr>
          <w:rFonts w:ascii="Tahoma" w:hAnsi="Tahoma" w:cs="Tahoma"/>
          <w:sz w:val="24"/>
          <w:szCs w:val="24"/>
        </w:rPr>
        <w:t>, 2018, 207–217.</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rPr>
        <w:t>Bellón</w:t>
      </w:r>
      <w:proofErr w:type="spellEnd"/>
      <w:r w:rsidRPr="00407328">
        <w:rPr>
          <w:rFonts w:ascii="Tahoma" w:hAnsi="Tahoma" w:cs="Tahoma"/>
          <w:sz w:val="24"/>
          <w:szCs w:val="24"/>
        </w:rPr>
        <w:t xml:space="preserve"> Sánchez de la Blanca, T. (2012). Nuevos modelos narrativos. Ficción televisiva y </w:t>
      </w:r>
      <w:proofErr w:type="spellStart"/>
      <w:r w:rsidRPr="00407328">
        <w:rPr>
          <w:rFonts w:ascii="Tahoma" w:hAnsi="Tahoma" w:cs="Tahoma"/>
          <w:sz w:val="24"/>
          <w:szCs w:val="24"/>
        </w:rPr>
        <w:t>transmediación</w:t>
      </w:r>
      <w:proofErr w:type="spellEnd"/>
      <w:r w:rsidRPr="00407328">
        <w:rPr>
          <w:rFonts w:ascii="Tahoma" w:hAnsi="Tahoma" w:cs="Tahoma"/>
          <w:sz w:val="24"/>
          <w:szCs w:val="24"/>
        </w:rPr>
        <w:t xml:space="preserve">. Revista Comunicación, 1(10), 17–31.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lang w:val="en-US"/>
        </w:rPr>
      </w:pPr>
      <w:proofErr w:type="spellStart"/>
      <w:r w:rsidRPr="00407328">
        <w:rPr>
          <w:rFonts w:ascii="Tahoma" w:hAnsi="Tahoma" w:cs="Tahoma"/>
          <w:sz w:val="24"/>
          <w:szCs w:val="24"/>
        </w:rPr>
        <w:t>Berelson</w:t>
      </w:r>
      <w:proofErr w:type="spellEnd"/>
      <w:r w:rsidRPr="00407328">
        <w:rPr>
          <w:rFonts w:ascii="Tahoma" w:hAnsi="Tahoma" w:cs="Tahoma"/>
          <w:sz w:val="24"/>
          <w:szCs w:val="24"/>
        </w:rPr>
        <w:t xml:space="preserve">, B. (1952). Content </w:t>
      </w:r>
      <w:proofErr w:type="spellStart"/>
      <w:r w:rsidRPr="00407328">
        <w:rPr>
          <w:rFonts w:ascii="Tahoma" w:hAnsi="Tahoma" w:cs="Tahoma"/>
          <w:sz w:val="24"/>
          <w:szCs w:val="24"/>
        </w:rPr>
        <w:t>analysis</w:t>
      </w:r>
      <w:proofErr w:type="spellEnd"/>
      <w:r w:rsidRPr="00407328">
        <w:rPr>
          <w:rFonts w:ascii="Tahoma" w:hAnsi="Tahoma" w:cs="Tahoma"/>
          <w:sz w:val="24"/>
          <w:szCs w:val="24"/>
        </w:rPr>
        <w:t xml:space="preserve"> in </w:t>
      </w:r>
      <w:proofErr w:type="spellStart"/>
      <w:r w:rsidRPr="00407328">
        <w:rPr>
          <w:rFonts w:ascii="Tahoma" w:hAnsi="Tahoma" w:cs="Tahoma"/>
          <w:sz w:val="24"/>
          <w:szCs w:val="24"/>
        </w:rPr>
        <w:t>communication</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research</w:t>
      </w:r>
      <w:proofErr w:type="spellEnd"/>
      <w:r w:rsidRPr="00407328">
        <w:rPr>
          <w:rFonts w:ascii="Tahoma" w:hAnsi="Tahoma" w:cs="Tahoma"/>
          <w:sz w:val="24"/>
          <w:szCs w:val="24"/>
        </w:rPr>
        <w:t xml:space="preserve">. </w:t>
      </w:r>
      <w:r w:rsidRPr="00407328">
        <w:rPr>
          <w:rFonts w:ascii="Tahoma" w:hAnsi="Tahoma" w:cs="Tahoma"/>
          <w:sz w:val="24"/>
          <w:szCs w:val="24"/>
          <w:lang w:val="en-US"/>
        </w:rPr>
        <w:t>Free Press.</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lang w:val="en-US"/>
        </w:rPr>
        <w:t>Brantner</w:t>
      </w:r>
      <w:proofErr w:type="spellEnd"/>
      <w:r w:rsidRPr="00407328">
        <w:rPr>
          <w:rFonts w:ascii="Tahoma" w:hAnsi="Tahoma" w:cs="Tahoma"/>
          <w:sz w:val="24"/>
          <w:szCs w:val="24"/>
          <w:lang w:val="en-US"/>
        </w:rPr>
        <w:t>, C., &amp; Rodriguez-</w:t>
      </w:r>
      <w:proofErr w:type="spellStart"/>
      <w:r w:rsidRPr="00407328">
        <w:rPr>
          <w:rFonts w:ascii="Tahoma" w:hAnsi="Tahoma" w:cs="Tahoma"/>
          <w:sz w:val="24"/>
          <w:szCs w:val="24"/>
          <w:lang w:val="en-US"/>
        </w:rPr>
        <w:t>Amat</w:t>
      </w:r>
      <w:proofErr w:type="spellEnd"/>
      <w:r w:rsidRPr="00407328">
        <w:rPr>
          <w:rFonts w:ascii="Tahoma" w:hAnsi="Tahoma" w:cs="Tahoma"/>
          <w:sz w:val="24"/>
          <w:szCs w:val="24"/>
          <w:lang w:val="en-US"/>
        </w:rPr>
        <w:t xml:space="preserve">, J. R. (2016). New “danger zone” in </w:t>
      </w:r>
      <w:proofErr w:type="spellStart"/>
      <w:proofErr w:type="gramStart"/>
      <w:r w:rsidRPr="00407328">
        <w:rPr>
          <w:rFonts w:ascii="Tahoma" w:hAnsi="Tahoma" w:cs="Tahoma"/>
          <w:sz w:val="24"/>
          <w:szCs w:val="24"/>
          <w:lang w:val="en-US"/>
        </w:rPr>
        <w:t>europe</w:t>
      </w:r>
      <w:proofErr w:type="spellEnd"/>
      <w:proofErr w:type="gramEnd"/>
      <w:r w:rsidRPr="00407328">
        <w:rPr>
          <w:rFonts w:ascii="Tahoma" w:hAnsi="Tahoma" w:cs="Tahoma"/>
          <w:sz w:val="24"/>
          <w:szCs w:val="24"/>
          <w:lang w:val="en-US"/>
        </w:rPr>
        <w:t xml:space="preserve">: Representations of place in social media-supported protests. </w:t>
      </w:r>
      <w:r w:rsidRPr="00407328">
        <w:rPr>
          <w:rFonts w:ascii="Tahoma" w:hAnsi="Tahoma" w:cs="Tahoma"/>
          <w:sz w:val="24"/>
          <w:szCs w:val="24"/>
        </w:rPr>
        <w:t xml:space="preserve">International </w:t>
      </w:r>
      <w:proofErr w:type="spellStart"/>
      <w:r w:rsidRPr="00407328">
        <w:rPr>
          <w:rFonts w:ascii="Tahoma" w:hAnsi="Tahoma" w:cs="Tahoma"/>
          <w:sz w:val="24"/>
          <w:szCs w:val="24"/>
        </w:rPr>
        <w:t>Journal</w:t>
      </w:r>
      <w:proofErr w:type="spellEnd"/>
      <w:r w:rsidRPr="00407328">
        <w:rPr>
          <w:rFonts w:ascii="Tahoma" w:hAnsi="Tahoma" w:cs="Tahoma"/>
          <w:sz w:val="24"/>
          <w:szCs w:val="24"/>
        </w:rPr>
        <w:t xml:space="preserve"> of </w:t>
      </w:r>
      <w:proofErr w:type="spellStart"/>
      <w:r w:rsidRPr="00407328">
        <w:rPr>
          <w:rFonts w:ascii="Tahoma" w:hAnsi="Tahoma" w:cs="Tahoma"/>
          <w:sz w:val="24"/>
          <w:szCs w:val="24"/>
        </w:rPr>
        <w:t>Communication</w:t>
      </w:r>
      <w:proofErr w:type="spellEnd"/>
      <w:r w:rsidRPr="00407328">
        <w:rPr>
          <w:rFonts w:ascii="Tahoma" w:hAnsi="Tahoma" w:cs="Tahoma"/>
          <w:sz w:val="24"/>
          <w:szCs w:val="24"/>
        </w:rPr>
        <w:t>, 10(1), 299–320.</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Cabezuelo-Lorenzo, F., Barrientos-Báez, A., &amp; Caldevilla-Domínguez, D. (2021). Propuesta para la transferencia del conocimiento e innovación en la enseñanza-aprendizaje del liderazgo: lecciones de cine. In Alfabetización en la nueva docencia. Editorial Tirant lo Blanch.</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Cabezuelo-Lorenzo, Francisco, Barrientos-Báez, A., &amp; Caldevilla-Domínguez, D. (2020). Ficción audiovisual contemporánea como herramienta educativa en la actual sociedad </w:t>
      </w:r>
      <w:proofErr w:type="spellStart"/>
      <w:r w:rsidRPr="00407328">
        <w:rPr>
          <w:rFonts w:ascii="Tahoma" w:hAnsi="Tahoma" w:cs="Tahoma"/>
          <w:sz w:val="24"/>
          <w:szCs w:val="24"/>
        </w:rPr>
        <w:t>multipantallas</w:t>
      </w:r>
      <w:proofErr w:type="spellEnd"/>
      <w:r w:rsidRPr="00407328">
        <w:rPr>
          <w:rFonts w:ascii="Tahoma" w:hAnsi="Tahoma" w:cs="Tahoma"/>
          <w:sz w:val="24"/>
          <w:szCs w:val="24"/>
        </w:rPr>
        <w:t xml:space="preserve">. Utopía y Praxis Latinoamericana. Revista Internacional de Filosofía y Teoría Social, 25(EXTRA 13), 210–224. </w:t>
      </w:r>
      <w:hyperlink r:id="rId28" w:history="1">
        <w:r w:rsidRPr="00407328">
          <w:rPr>
            <w:rStyle w:val="Hipervnculo"/>
            <w:rFonts w:ascii="Tahoma" w:hAnsi="Tahoma" w:cs="Tahoma"/>
            <w:sz w:val="24"/>
            <w:szCs w:val="24"/>
          </w:rPr>
          <w:t>https://doi.org/http://doi.org/10.5281/zenodo.4292728</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70D63">
        <w:rPr>
          <w:rFonts w:ascii="Tahoma" w:hAnsi="Tahoma" w:cs="Tahoma"/>
          <w:sz w:val="24"/>
          <w:szCs w:val="24"/>
          <w:lang w:val="es-CL"/>
        </w:rPr>
        <w:t>Castillo-</w:t>
      </w:r>
      <w:proofErr w:type="spellStart"/>
      <w:r w:rsidRPr="00470D63">
        <w:rPr>
          <w:rFonts w:ascii="Tahoma" w:hAnsi="Tahoma" w:cs="Tahoma"/>
          <w:sz w:val="24"/>
          <w:szCs w:val="24"/>
          <w:lang w:val="es-CL"/>
        </w:rPr>
        <w:t>Pomeda</w:t>
      </w:r>
      <w:proofErr w:type="spellEnd"/>
      <w:r w:rsidRPr="00470D63">
        <w:rPr>
          <w:rFonts w:ascii="Tahoma" w:hAnsi="Tahoma" w:cs="Tahoma"/>
          <w:sz w:val="24"/>
          <w:szCs w:val="24"/>
          <w:lang w:val="es-CL"/>
        </w:rPr>
        <w:t xml:space="preserve">, J. M. (2016). </w:t>
      </w:r>
      <w:r w:rsidRPr="00407328">
        <w:rPr>
          <w:rFonts w:ascii="Tahoma" w:hAnsi="Tahoma" w:cs="Tahoma"/>
          <w:sz w:val="24"/>
          <w:szCs w:val="24"/>
          <w:lang w:val="en-US"/>
        </w:rPr>
        <w:t xml:space="preserve">Connected. </w:t>
      </w:r>
      <w:proofErr w:type="gramStart"/>
      <w:r w:rsidRPr="00407328">
        <w:rPr>
          <w:rFonts w:ascii="Tahoma" w:hAnsi="Tahoma" w:cs="Tahoma"/>
          <w:sz w:val="24"/>
          <w:szCs w:val="24"/>
          <w:lang w:val="en-US"/>
        </w:rPr>
        <w:t>the</w:t>
      </w:r>
      <w:proofErr w:type="gramEnd"/>
      <w:r w:rsidRPr="00407328">
        <w:rPr>
          <w:rFonts w:ascii="Tahoma" w:hAnsi="Tahoma" w:cs="Tahoma"/>
          <w:sz w:val="24"/>
          <w:szCs w:val="24"/>
          <w:lang w:val="en-US"/>
        </w:rPr>
        <w:t xml:space="preserve"> Fourth Screen As Epicenter of Social Communications. </w:t>
      </w:r>
      <w:r w:rsidRPr="00407328">
        <w:rPr>
          <w:rFonts w:ascii="Tahoma" w:hAnsi="Tahoma" w:cs="Tahoma"/>
          <w:sz w:val="24"/>
          <w:szCs w:val="24"/>
        </w:rPr>
        <w:t>Revista de Comunicación de La SEECI, 40, 1–17.</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lang w:val="en-US"/>
        </w:rPr>
      </w:pPr>
      <w:r w:rsidRPr="00407328">
        <w:rPr>
          <w:rFonts w:ascii="Tahoma" w:hAnsi="Tahoma" w:cs="Tahoma"/>
          <w:sz w:val="24"/>
          <w:szCs w:val="24"/>
        </w:rPr>
        <w:t xml:space="preserve">Fernández-Gómez, E., &amp; Martín-Quevedo, J. (2018a). </w:t>
      </w:r>
      <w:r w:rsidRPr="00407328">
        <w:rPr>
          <w:rFonts w:ascii="Tahoma" w:hAnsi="Tahoma" w:cs="Tahoma"/>
          <w:sz w:val="24"/>
          <w:szCs w:val="24"/>
          <w:lang w:val="en-US"/>
        </w:rPr>
        <w:t xml:space="preserve">Connecting with audiences in new markets: Netflix´s Twitter strategy in Spain. Journal of Media Business Studies, 15(2), 127–146. </w:t>
      </w:r>
      <w:hyperlink r:id="rId29" w:history="1">
        <w:r w:rsidRPr="00407328">
          <w:rPr>
            <w:rStyle w:val="Hipervnculo"/>
            <w:rFonts w:ascii="Tahoma" w:hAnsi="Tahoma" w:cs="Tahoma"/>
            <w:sz w:val="24"/>
            <w:szCs w:val="24"/>
            <w:lang w:val="en-US"/>
          </w:rPr>
          <w:t>https://doi.org/10.1080/16522354.2018.1481711</w:t>
        </w:r>
      </w:hyperlink>
      <w:r w:rsidRPr="00407328">
        <w:rPr>
          <w:rFonts w:ascii="Tahoma" w:hAnsi="Tahoma" w:cs="Tahoma"/>
          <w:sz w:val="24"/>
          <w:szCs w:val="24"/>
          <w:lang w:val="en-US"/>
        </w:rPr>
        <w:t xml:space="preserve"> </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lang w:val="en-US"/>
        </w:rPr>
        <w:t>Fernández-Gómez, E., &amp; Martín-</w:t>
      </w:r>
      <w:proofErr w:type="spellStart"/>
      <w:r w:rsidRPr="00407328">
        <w:rPr>
          <w:rFonts w:ascii="Tahoma" w:hAnsi="Tahoma" w:cs="Tahoma"/>
          <w:sz w:val="24"/>
          <w:szCs w:val="24"/>
          <w:lang w:val="en-US"/>
        </w:rPr>
        <w:t>Quevedo</w:t>
      </w:r>
      <w:proofErr w:type="spellEnd"/>
      <w:r w:rsidRPr="00407328">
        <w:rPr>
          <w:rFonts w:ascii="Tahoma" w:hAnsi="Tahoma" w:cs="Tahoma"/>
          <w:sz w:val="24"/>
          <w:szCs w:val="24"/>
          <w:lang w:val="en-US"/>
        </w:rPr>
        <w:t xml:space="preserve">, J. (2018b). </w:t>
      </w:r>
      <w:r w:rsidRPr="00407328">
        <w:rPr>
          <w:rFonts w:ascii="Tahoma" w:hAnsi="Tahoma" w:cs="Tahoma"/>
          <w:sz w:val="24"/>
          <w:szCs w:val="24"/>
        </w:rPr>
        <w:t xml:space="preserve">La estrategia de </w:t>
      </w:r>
      <w:proofErr w:type="spellStart"/>
      <w:r w:rsidRPr="00407328">
        <w:rPr>
          <w:rFonts w:ascii="Tahoma" w:hAnsi="Tahoma" w:cs="Tahoma"/>
          <w:sz w:val="24"/>
          <w:szCs w:val="24"/>
        </w:rPr>
        <w:t>engagement</w:t>
      </w:r>
      <w:proofErr w:type="spellEnd"/>
      <w:r w:rsidRPr="00407328">
        <w:rPr>
          <w:rFonts w:ascii="Tahoma" w:hAnsi="Tahoma" w:cs="Tahoma"/>
          <w:sz w:val="24"/>
          <w:szCs w:val="24"/>
        </w:rPr>
        <w:t xml:space="preserve"> de </w:t>
      </w:r>
      <w:proofErr w:type="spellStart"/>
      <w:r w:rsidRPr="00407328">
        <w:rPr>
          <w:rFonts w:ascii="Tahoma" w:hAnsi="Tahoma" w:cs="Tahoma"/>
          <w:sz w:val="24"/>
          <w:szCs w:val="24"/>
        </w:rPr>
        <w:t>Netflix</w:t>
      </w:r>
      <w:proofErr w:type="spellEnd"/>
      <w:r w:rsidRPr="00407328">
        <w:rPr>
          <w:rFonts w:ascii="Tahoma" w:hAnsi="Tahoma" w:cs="Tahoma"/>
          <w:sz w:val="24"/>
          <w:szCs w:val="24"/>
        </w:rPr>
        <w:t xml:space="preserve"> España en Twitter. El Profesional de La Información, 27(6), 1292. </w:t>
      </w:r>
      <w:hyperlink r:id="rId30" w:history="1">
        <w:r w:rsidRPr="00407328">
          <w:rPr>
            <w:rStyle w:val="Hipervnculo"/>
            <w:rFonts w:ascii="Tahoma" w:hAnsi="Tahoma" w:cs="Tahoma"/>
            <w:sz w:val="24"/>
            <w:szCs w:val="24"/>
          </w:rPr>
          <w:t>https://doi.org/10.3145/epi.2018.nov.12</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Gabriel, P. S., </w:t>
      </w:r>
      <w:proofErr w:type="spellStart"/>
      <w:r w:rsidRPr="00407328">
        <w:rPr>
          <w:rFonts w:ascii="Tahoma" w:hAnsi="Tahoma" w:cs="Tahoma"/>
          <w:sz w:val="24"/>
          <w:szCs w:val="24"/>
        </w:rPr>
        <w:t>Carabaza</w:t>
      </w:r>
      <w:proofErr w:type="spellEnd"/>
      <w:r w:rsidRPr="00407328">
        <w:rPr>
          <w:rFonts w:ascii="Tahoma" w:hAnsi="Tahoma" w:cs="Tahoma"/>
          <w:sz w:val="24"/>
          <w:szCs w:val="24"/>
        </w:rPr>
        <w:t xml:space="preserve"> González, J. I., &amp; Romo Gutiérrez, D. O. (2015). El uso de Twitter en las salas de redacción: redes sociales y </w:t>
      </w:r>
      <w:proofErr w:type="spellStart"/>
      <w:r w:rsidRPr="00407328">
        <w:rPr>
          <w:rFonts w:ascii="Tahoma" w:hAnsi="Tahoma" w:cs="Tahoma"/>
          <w:sz w:val="24"/>
          <w:szCs w:val="24"/>
        </w:rPr>
        <w:t>newsmaking</w:t>
      </w:r>
      <w:proofErr w:type="spellEnd"/>
      <w:r w:rsidRPr="00407328">
        <w:rPr>
          <w:rFonts w:ascii="Tahoma" w:hAnsi="Tahoma" w:cs="Tahoma"/>
          <w:sz w:val="24"/>
          <w:szCs w:val="24"/>
        </w:rPr>
        <w:t xml:space="preserve"> en la región sureste de Coahuila, México. Mediaciones Sociales, 0(12), 108–128. </w:t>
      </w:r>
      <w:hyperlink r:id="rId31" w:history="1">
        <w:r w:rsidRPr="00407328">
          <w:rPr>
            <w:rStyle w:val="Hipervnculo"/>
            <w:rFonts w:ascii="Tahoma" w:hAnsi="Tahoma" w:cs="Tahoma"/>
            <w:sz w:val="24"/>
            <w:szCs w:val="24"/>
          </w:rPr>
          <w:t>https://doi.org/10.5209/rev_meso.2013.n12.45265</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Gil-Quintana, J., &amp; </w:t>
      </w:r>
      <w:proofErr w:type="spellStart"/>
      <w:r w:rsidRPr="00407328">
        <w:rPr>
          <w:rFonts w:ascii="Tahoma" w:hAnsi="Tahoma" w:cs="Tahoma"/>
          <w:sz w:val="24"/>
          <w:szCs w:val="24"/>
        </w:rPr>
        <w:t>Amoros</w:t>
      </w:r>
      <w:proofErr w:type="spellEnd"/>
      <w:r w:rsidRPr="00407328">
        <w:rPr>
          <w:rFonts w:ascii="Tahoma" w:hAnsi="Tahoma" w:cs="Tahoma"/>
          <w:sz w:val="24"/>
          <w:szCs w:val="24"/>
        </w:rPr>
        <w:t xml:space="preserve">, M. F. G. (2020). </w:t>
      </w:r>
      <w:r w:rsidRPr="00407328">
        <w:rPr>
          <w:rFonts w:ascii="Tahoma" w:hAnsi="Tahoma" w:cs="Tahoma"/>
          <w:sz w:val="24"/>
          <w:szCs w:val="24"/>
          <w:lang w:val="en-US"/>
        </w:rPr>
        <w:t xml:space="preserve">Posts, interactions, truths and lies of Spanish adolescents on Instagram. </w:t>
      </w:r>
      <w:r w:rsidRPr="00407328">
        <w:rPr>
          <w:rFonts w:ascii="Tahoma" w:hAnsi="Tahoma" w:cs="Tahoma"/>
          <w:sz w:val="24"/>
          <w:szCs w:val="24"/>
        </w:rPr>
        <w:t xml:space="preserve">Texto </w:t>
      </w:r>
      <w:proofErr w:type="spellStart"/>
      <w:r w:rsidRPr="00407328">
        <w:rPr>
          <w:rFonts w:ascii="Tahoma" w:hAnsi="Tahoma" w:cs="Tahoma"/>
          <w:sz w:val="24"/>
          <w:szCs w:val="24"/>
        </w:rPr>
        <w:t>Livre</w:t>
      </w:r>
      <w:proofErr w:type="spellEnd"/>
      <w:r w:rsidRPr="00407328">
        <w:rPr>
          <w:rFonts w:ascii="Tahoma" w:hAnsi="Tahoma" w:cs="Tahoma"/>
          <w:sz w:val="24"/>
          <w:szCs w:val="24"/>
        </w:rPr>
        <w:t xml:space="preserve">, 13(1), 20–44. </w:t>
      </w:r>
      <w:hyperlink r:id="rId32" w:history="1">
        <w:r w:rsidRPr="00407328">
          <w:rPr>
            <w:rStyle w:val="Hipervnculo"/>
            <w:rFonts w:ascii="Tahoma" w:hAnsi="Tahoma" w:cs="Tahoma"/>
            <w:sz w:val="24"/>
            <w:szCs w:val="24"/>
          </w:rPr>
          <w:t>https://doi.org/10.17851/1983-3652.13.1.20-44</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70D63" w:rsidRDefault="00470D63" w:rsidP="00470D63">
      <w:pPr>
        <w:spacing w:after="0"/>
        <w:ind w:left="284" w:hanging="284"/>
        <w:jc w:val="both"/>
        <w:rPr>
          <w:rFonts w:ascii="Tahoma" w:hAnsi="Tahoma" w:cs="Tahoma"/>
          <w:sz w:val="24"/>
          <w:szCs w:val="24"/>
          <w:lang w:val="en-US"/>
        </w:rPr>
      </w:pPr>
      <w:r w:rsidRPr="00407328">
        <w:rPr>
          <w:rFonts w:ascii="Tahoma" w:hAnsi="Tahoma" w:cs="Tahoma"/>
          <w:sz w:val="24"/>
          <w:szCs w:val="24"/>
        </w:rPr>
        <w:t xml:space="preserve">González Neira, A., &amp; Quintas </w:t>
      </w:r>
      <w:proofErr w:type="spellStart"/>
      <w:r w:rsidRPr="00407328">
        <w:rPr>
          <w:rFonts w:ascii="Tahoma" w:hAnsi="Tahoma" w:cs="Tahoma"/>
          <w:sz w:val="24"/>
          <w:szCs w:val="24"/>
        </w:rPr>
        <w:t>Froufe</w:t>
      </w:r>
      <w:proofErr w:type="spellEnd"/>
      <w:r w:rsidRPr="00407328">
        <w:rPr>
          <w:rFonts w:ascii="Tahoma" w:hAnsi="Tahoma" w:cs="Tahoma"/>
          <w:sz w:val="24"/>
          <w:szCs w:val="24"/>
        </w:rPr>
        <w:t xml:space="preserve">, N. (2016). El comportamiento de la audiencia lineal, social y en diferido de las series de ficción española. Revista de La Asociación Española de Investigación de La Comunicación, 3(6), 27–33. </w:t>
      </w:r>
      <w:hyperlink r:id="rId33" w:history="1">
        <w:r w:rsidRPr="00470D63">
          <w:rPr>
            <w:rStyle w:val="Hipervnculo"/>
            <w:rFonts w:ascii="Tahoma" w:hAnsi="Tahoma" w:cs="Tahoma"/>
            <w:sz w:val="24"/>
            <w:szCs w:val="24"/>
            <w:lang w:val="en-US"/>
          </w:rPr>
          <w:t>https://doi.org/10.24137/raeic.3.6.4</w:t>
        </w:r>
      </w:hyperlink>
      <w:r w:rsidRPr="00470D63">
        <w:rPr>
          <w:rFonts w:ascii="Tahoma" w:hAnsi="Tahoma" w:cs="Tahoma"/>
          <w:sz w:val="24"/>
          <w:szCs w:val="24"/>
          <w:lang w:val="en-US"/>
        </w:rPr>
        <w:t xml:space="preserve"> </w:t>
      </w:r>
    </w:p>
    <w:p w:rsidR="00470D63" w:rsidRPr="00470D63"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lang w:val="en-US"/>
        </w:rPr>
      </w:pPr>
      <w:r w:rsidRPr="00407328">
        <w:rPr>
          <w:rFonts w:ascii="Tahoma" w:hAnsi="Tahoma" w:cs="Tahoma"/>
          <w:sz w:val="24"/>
          <w:szCs w:val="24"/>
          <w:lang w:val="en-US"/>
        </w:rPr>
        <w:t xml:space="preserve">Harrington, S. (2014). Tweeting about the </w:t>
      </w:r>
      <w:proofErr w:type="spellStart"/>
      <w:r w:rsidRPr="00407328">
        <w:rPr>
          <w:rFonts w:ascii="Tahoma" w:hAnsi="Tahoma" w:cs="Tahoma"/>
          <w:sz w:val="24"/>
          <w:szCs w:val="24"/>
          <w:lang w:val="en-US"/>
        </w:rPr>
        <w:t>Telly</w:t>
      </w:r>
      <w:proofErr w:type="spellEnd"/>
      <w:r w:rsidRPr="00407328">
        <w:rPr>
          <w:rFonts w:ascii="Tahoma" w:hAnsi="Tahoma" w:cs="Tahoma"/>
          <w:sz w:val="24"/>
          <w:szCs w:val="24"/>
          <w:lang w:val="en-US"/>
        </w:rPr>
        <w:t xml:space="preserve">: Live TV, Audiences, and Social Media. In K. Weller, A. </w:t>
      </w:r>
      <w:proofErr w:type="spellStart"/>
      <w:r w:rsidRPr="00407328">
        <w:rPr>
          <w:rFonts w:ascii="Tahoma" w:hAnsi="Tahoma" w:cs="Tahoma"/>
          <w:sz w:val="24"/>
          <w:szCs w:val="24"/>
          <w:lang w:val="en-US"/>
        </w:rPr>
        <w:t>Bruns</w:t>
      </w:r>
      <w:proofErr w:type="spellEnd"/>
      <w:r w:rsidRPr="00407328">
        <w:rPr>
          <w:rFonts w:ascii="Tahoma" w:hAnsi="Tahoma" w:cs="Tahoma"/>
          <w:sz w:val="24"/>
          <w:szCs w:val="24"/>
          <w:lang w:val="en-US"/>
        </w:rPr>
        <w:t xml:space="preserve">, J. Burgess, M. </w:t>
      </w:r>
      <w:proofErr w:type="spellStart"/>
      <w:r w:rsidRPr="00407328">
        <w:rPr>
          <w:rFonts w:ascii="Tahoma" w:hAnsi="Tahoma" w:cs="Tahoma"/>
          <w:sz w:val="24"/>
          <w:szCs w:val="24"/>
          <w:lang w:val="en-US"/>
        </w:rPr>
        <w:t>Mahrt</w:t>
      </w:r>
      <w:proofErr w:type="spellEnd"/>
      <w:r w:rsidRPr="00407328">
        <w:rPr>
          <w:rFonts w:ascii="Tahoma" w:hAnsi="Tahoma" w:cs="Tahoma"/>
          <w:sz w:val="24"/>
          <w:szCs w:val="24"/>
          <w:lang w:val="en-US"/>
        </w:rPr>
        <w:t xml:space="preserve">, &amp; C. </w:t>
      </w:r>
      <w:proofErr w:type="spellStart"/>
      <w:r w:rsidRPr="00407328">
        <w:rPr>
          <w:rFonts w:ascii="Tahoma" w:hAnsi="Tahoma" w:cs="Tahoma"/>
          <w:sz w:val="24"/>
          <w:szCs w:val="24"/>
          <w:lang w:val="en-US"/>
        </w:rPr>
        <w:t>Puschmann</w:t>
      </w:r>
      <w:proofErr w:type="spellEnd"/>
      <w:r w:rsidRPr="00407328">
        <w:rPr>
          <w:rFonts w:ascii="Tahoma" w:hAnsi="Tahoma" w:cs="Tahoma"/>
          <w:sz w:val="24"/>
          <w:szCs w:val="24"/>
          <w:lang w:val="en-US"/>
        </w:rPr>
        <w:t xml:space="preserve"> (Eds.), Twitter and Society (pp. 237–247). Peter Lang.</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lang w:val="en-US"/>
        </w:rPr>
      </w:pPr>
      <w:r w:rsidRPr="00407328">
        <w:rPr>
          <w:rFonts w:ascii="Tahoma" w:hAnsi="Tahoma" w:cs="Tahoma"/>
          <w:sz w:val="24"/>
          <w:szCs w:val="24"/>
          <w:lang w:val="en-US"/>
        </w:rPr>
        <w:t xml:space="preserve">Harrington, S., </w:t>
      </w:r>
      <w:proofErr w:type="spellStart"/>
      <w:r w:rsidRPr="00407328">
        <w:rPr>
          <w:rFonts w:ascii="Tahoma" w:hAnsi="Tahoma" w:cs="Tahoma"/>
          <w:sz w:val="24"/>
          <w:szCs w:val="24"/>
          <w:lang w:val="en-US"/>
        </w:rPr>
        <w:t>Highfield</w:t>
      </w:r>
      <w:proofErr w:type="spellEnd"/>
      <w:r w:rsidRPr="00407328">
        <w:rPr>
          <w:rFonts w:ascii="Tahoma" w:hAnsi="Tahoma" w:cs="Tahoma"/>
          <w:sz w:val="24"/>
          <w:szCs w:val="24"/>
          <w:lang w:val="en-US"/>
        </w:rPr>
        <w:t xml:space="preserve">, T., &amp; </w:t>
      </w:r>
      <w:proofErr w:type="spellStart"/>
      <w:r w:rsidRPr="00407328">
        <w:rPr>
          <w:rFonts w:ascii="Tahoma" w:hAnsi="Tahoma" w:cs="Tahoma"/>
          <w:sz w:val="24"/>
          <w:szCs w:val="24"/>
          <w:lang w:val="en-US"/>
        </w:rPr>
        <w:t>Bruns</w:t>
      </w:r>
      <w:proofErr w:type="spellEnd"/>
      <w:r w:rsidRPr="00407328">
        <w:rPr>
          <w:rFonts w:ascii="Tahoma" w:hAnsi="Tahoma" w:cs="Tahoma"/>
          <w:sz w:val="24"/>
          <w:szCs w:val="24"/>
          <w:lang w:val="en-US"/>
        </w:rPr>
        <w:t xml:space="preserve">, A. (2013). More than a Backchannel: Twitter and Television. Participations: Journal of Audience &amp; Reception Studies, 10(1), 405–409. </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lang w:val="en-US"/>
        </w:rPr>
        <w:t xml:space="preserve">Herrero </w:t>
      </w:r>
      <w:proofErr w:type="spellStart"/>
      <w:r w:rsidRPr="00407328">
        <w:rPr>
          <w:rFonts w:ascii="Tahoma" w:hAnsi="Tahoma" w:cs="Tahoma"/>
          <w:sz w:val="24"/>
          <w:szCs w:val="24"/>
          <w:lang w:val="en-US"/>
        </w:rPr>
        <w:t>Subías</w:t>
      </w:r>
      <w:proofErr w:type="spellEnd"/>
      <w:r w:rsidRPr="00407328">
        <w:rPr>
          <w:rFonts w:ascii="Tahoma" w:hAnsi="Tahoma" w:cs="Tahoma"/>
          <w:sz w:val="24"/>
          <w:szCs w:val="24"/>
          <w:lang w:val="en-US"/>
        </w:rPr>
        <w:t xml:space="preserve">, M., &amp; </w:t>
      </w:r>
      <w:proofErr w:type="spellStart"/>
      <w:r w:rsidRPr="00407328">
        <w:rPr>
          <w:rFonts w:ascii="Tahoma" w:hAnsi="Tahoma" w:cs="Tahoma"/>
          <w:sz w:val="24"/>
          <w:szCs w:val="24"/>
          <w:lang w:val="en-US"/>
        </w:rPr>
        <w:t>Urgellés</w:t>
      </w:r>
      <w:proofErr w:type="spellEnd"/>
      <w:r w:rsidRPr="00407328">
        <w:rPr>
          <w:rFonts w:ascii="Tahoma" w:hAnsi="Tahoma" w:cs="Tahoma"/>
          <w:sz w:val="24"/>
          <w:szCs w:val="24"/>
          <w:lang w:val="en-US"/>
        </w:rPr>
        <w:t xml:space="preserve"> Molina, A. (2018). </w:t>
      </w:r>
      <w:r w:rsidRPr="00407328">
        <w:rPr>
          <w:rFonts w:ascii="Tahoma" w:hAnsi="Tahoma" w:cs="Tahoma"/>
          <w:sz w:val="24"/>
          <w:szCs w:val="24"/>
        </w:rPr>
        <w:t xml:space="preserve">Generación de </w:t>
      </w:r>
      <w:proofErr w:type="spellStart"/>
      <w:r w:rsidRPr="00407328">
        <w:rPr>
          <w:rFonts w:ascii="Tahoma" w:hAnsi="Tahoma" w:cs="Tahoma"/>
          <w:sz w:val="24"/>
          <w:szCs w:val="24"/>
        </w:rPr>
        <w:t>engagement</w:t>
      </w:r>
      <w:proofErr w:type="spellEnd"/>
      <w:r w:rsidRPr="00407328">
        <w:rPr>
          <w:rFonts w:ascii="Tahoma" w:hAnsi="Tahoma" w:cs="Tahoma"/>
          <w:sz w:val="24"/>
          <w:szCs w:val="24"/>
        </w:rPr>
        <w:t xml:space="preserve"> con un servicio de vídeo bajo demanda en Twitter. El caso de </w:t>
      </w:r>
      <w:proofErr w:type="spellStart"/>
      <w:r w:rsidRPr="00407328">
        <w:rPr>
          <w:rFonts w:ascii="Tahoma" w:hAnsi="Tahoma" w:cs="Tahoma"/>
          <w:sz w:val="24"/>
          <w:szCs w:val="24"/>
        </w:rPr>
        <w:t>Netflix</w:t>
      </w:r>
      <w:proofErr w:type="spellEnd"/>
      <w:r w:rsidRPr="00407328">
        <w:rPr>
          <w:rFonts w:ascii="Tahoma" w:hAnsi="Tahoma" w:cs="Tahoma"/>
          <w:sz w:val="24"/>
          <w:szCs w:val="24"/>
        </w:rPr>
        <w:t xml:space="preserve"> España. Revista </w:t>
      </w:r>
      <w:proofErr w:type="spellStart"/>
      <w:r w:rsidRPr="00407328">
        <w:rPr>
          <w:rFonts w:ascii="Tahoma" w:hAnsi="Tahoma" w:cs="Tahoma"/>
          <w:sz w:val="24"/>
          <w:szCs w:val="24"/>
        </w:rPr>
        <w:t>Comhumanitas</w:t>
      </w:r>
      <w:proofErr w:type="spellEnd"/>
      <w:r w:rsidRPr="00407328">
        <w:rPr>
          <w:rFonts w:ascii="Tahoma" w:hAnsi="Tahoma" w:cs="Tahoma"/>
          <w:sz w:val="24"/>
          <w:szCs w:val="24"/>
        </w:rPr>
        <w:t xml:space="preserve">, 9(2), 175–191. </w:t>
      </w:r>
      <w:hyperlink r:id="rId34" w:history="1">
        <w:r w:rsidRPr="00407328">
          <w:rPr>
            <w:rStyle w:val="Hipervnculo"/>
            <w:rFonts w:ascii="Tahoma" w:hAnsi="Tahoma" w:cs="Tahoma"/>
            <w:sz w:val="24"/>
            <w:szCs w:val="24"/>
          </w:rPr>
          <w:t>https://doi.org/https://doi.org/10.31207/rch.v9i2.172</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Jenkins, H. (2010). Piratas de textos. Fans, cultura participativa y televisión. Paidós.</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rPr>
        <w:t>Jost</w:t>
      </w:r>
      <w:proofErr w:type="spellEnd"/>
      <w:r w:rsidRPr="00407328">
        <w:rPr>
          <w:rFonts w:ascii="Tahoma" w:hAnsi="Tahoma" w:cs="Tahoma"/>
          <w:sz w:val="24"/>
          <w:szCs w:val="24"/>
        </w:rPr>
        <w:t xml:space="preserve">, F. (2014). </w:t>
      </w:r>
      <w:proofErr w:type="spellStart"/>
      <w:r w:rsidRPr="00407328">
        <w:rPr>
          <w:rFonts w:ascii="Tahoma" w:hAnsi="Tahoma" w:cs="Tahoma"/>
          <w:sz w:val="24"/>
          <w:szCs w:val="24"/>
        </w:rPr>
        <w:t>Webseries</w:t>
      </w:r>
      <w:proofErr w:type="spellEnd"/>
      <w:r w:rsidRPr="00407328">
        <w:rPr>
          <w:rFonts w:ascii="Tahoma" w:hAnsi="Tahoma" w:cs="Tahoma"/>
          <w:sz w:val="24"/>
          <w:szCs w:val="24"/>
        </w:rPr>
        <w:t xml:space="preserve"> y series de tv: idas y venidas. Narraciones en tránsito. CIC Cuadernos de Información y Comunicación, 19(0), 39–51. </w:t>
      </w:r>
      <w:hyperlink r:id="rId35" w:history="1">
        <w:r w:rsidRPr="00407328">
          <w:rPr>
            <w:rStyle w:val="Hipervnculo"/>
            <w:rFonts w:ascii="Tahoma" w:hAnsi="Tahoma" w:cs="Tahoma"/>
            <w:sz w:val="24"/>
            <w:szCs w:val="24"/>
          </w:rPr>
          <w:t>https://doi.org/10.5209/rev_ciyc.2014.v19.43902</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Lacalle, C., &amp; Castro, D. (2018). </w:t>
      </w:r>
      <w:proofErr w:type="spellStart"/>
      <w:r w:rsidRPr="00407328">
        <w:rPr>
          <w:rFonts w:ascii="Tahoma" w:hAnsi="Tahoma" w:cs="Tahoma"/>
          <w:sz w:val="24"/>
          <w:szCs w:val="24"/>
        </w:rPr>
        <w:t>Fandom</w:t>
      </w:r>
      <w:proofErr w:type="spellEnd"/>
      <w:r w:rsidRPr="00407328">
        <w:rPr>
          <w:rFonts w:ascii="Tahoma" w:hAnsi="Tahoma" w:cs="Tahoma"/>
          <w:sz w:val="24"/>
          <w:szCs w:val="24"/>
        </w:rPr>
        <w:t xml:space="preserve"> televisivo y construcción de identidad. Análisis de los comentarios de las fans españolas y los </w:t>
      </w:r>
      <w:proofErr w:type="spellStart"/>
      <w:r w:rsidRPr="00407328">
        <w:rPr>
          <w:rFonts w:ascii="Tahoma" w:hAnsi="Tahoma" w:cs="Tahoma"/>
          <w:sz w:val="24"/>
          <w:szCs w:val="24"/>
        </w:rPr>
        <w:t>community</w:t>
      </w:r>
      <w:proofErr w:type="spellEnd"/>
      <w:r w:rsidRPr="00407328">
        <w:rPr>
          <w:rFonts w:ascii="Tahoma" w:hAnsi="Tahoma" w:cs="Tahoma"/>
          <w:sz w:val="24"/>
          <w:szCs w:val="24"/>
        </w:rPr>
        <w:t xml:space="preserve"> managers. Revista Latina de </w:t>
      </w:r>
      <w:proofErr w:type="spellStart"/>
      <w:r w:rsidRPr="00407328">
        <w:rPr>
          <w:rFonts w:ascii="Tahoma" w:hAnsi="Tahoma" w:cs="Tahoma"/>
          <w:sz w:val="24"/>
          <w:szCs w:val="24"/>
        </w:rPr>
        <w:t>Comunicacion</w:t>
      </w:r>
      <w:proofErr w:type="spellEnd"/>
      <w:r w:rsidRPr="00407328">
        <w:rPr>
          <w:rFonts w:ascii="Tahoma" w:hAnsi="Tahoma" w:cs="Tahoma"/>
          <w:sz w:val="24"/>
          <w:szCs w:val="24"/>
        </w:rPr>
        <w:t xml:space="preserve"> Social, 2018(73), 1–18. </w:t>
      </w:r>
      <w:hyperlink r:id="rId36" w:history="1">
        <w:r w:rsidRPr="00407328">
          <w:rPr>
            <w:rStyle w:val="Hipervnculo"/>
            <w:rFonts w:ascii="Tahoma" w:hAnsi="Tahoma" w:cs="Tahoma"/>
            <w:sz w:val="24"/>
            <w:szCs w:val="24"/>
          </w:rPr>
          <w:t>https://doi.org/10.4185/RLCS-2018-1242</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Marcos, N. (2015). Una serie para la generación Twitter. In C. Cascajosa-</w:t>
      </w:r>
      <w:proofErr w:type="spellStart"/>
      <w:r w:rsidRPr="00407328">
        <w:rPr>
          <w:rFonts w:ascii="Tahoma" w:hAnsi="Tahoma" w:cs="Tahoma"/>
          <w:sz w:val="24"/>
          <w:szCs w:val="24"/>
        </w:rPr>
        <w:t>Virino</w:t>
      </w:r>
      <w:proofErr w:type="spellEnd"/>
      <w:r w:rsidRPr="00407328">
        <w:rPr>
          <w:rFonts w:ascii="Tahoma" w:hAnsi="Tahoma" w:cs="Tahoma"/>
          <w:sz w:val="24"/>
          <w:szCs w:val="24"/>
        </w:rPr>
        <w:t xml:space="preserve"> (Ed.), Dentro de El ministerio del tiempo (pp. 199–202). Léeme Libros.</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Marta-Lazo, C., &amp; Gabelas-Barroso, J. A. (2013). </w:t>
      </w:r>
      <w:proofErr w:type="spellStart"/>
      <w:r w:rsidRPr="00407328">
        <w:rPr>
          <w:rFonts w:ascii="Tahoma" w:hAnsi="Tahoma" w:cs="Tahoma"/>
          <w:sz w:val="24"/>
          <w:szCs w:val="24"/>
        </w:rPr>
        <w:t>Fiction</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Consumption</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Habits</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Among</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Communication</w:t>
      </w:r>
      <w:proofErr w:type="spellEnd"/>
      <w:r w:rsidRPr="00407328">
        <w:rPr>
          <w:rFonts w:ascii="Tahoma" w:hAnsi="Tahoma" w:cs="Tahoma"/>
          <w:sz w:val="24"/>
          <w:szCs w:val="24"/>
        </w:rPr>
        <w:t>. Revista de Comunicación de La SEECI, 31, 14–33.</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Martínez-Sala, A.-M., &amp; Prado-Jiménez, C.-E. (2019). El papel del </w:t>
      </w:r>
      <w:proofErr w:type="spellStart"/>
      <w:r w:rsidRPr="00407328">
        <w:rPr>
          <w:rFonts w:ascii="Tahoma" w:hAnsi="Tahoma" w:cs="Tahoma"/>
          <w:sz w:val="24"/>
          <w:szCs w:val="24"/>
        </w:rPr>
        <w:t>fandom</w:t>
      </w:r>
      <w:proofErr w:type="spellEnd"/>
      <w:r w:rsidRPr="00407328">
        <w:rPr>
          <w:rFonts w:ascii="Tahoma" w:hAnsi="Tahoma" w:cs="Tahoma"/>
          <w:sz w:val="24"/>
          <w:szCs w:val="24"/>
        </w:rPr>
        <w:t xml:space="preserve"> televisivo en la estrategia de comunicación digital de </w:t>
      </w:r>
      <w:proofErr w:type="spellStart"/>
      <w:r w:rsidRPr="00407328">
        <w:rPr>
          <w:rFonts w:ascii="Tahoma" w:hAnsi="Tahoma" w:cs="Tahoma"/>
          <w:sz w:val="24"/>
          <w:szCs w:val="24"/>
        </w:rPr>
        <w:t>Netflix</w:t>
      </w:r>
      <w:proofErr w:type="spellEnd"/>
      <w:r w:rsidRPr="00407328">
        <w:rPr>
          <w:rFonts w:ascii="Tahoma" w:hAnsi="Tahoma" w:cs="Tahoma"/>
          <w:sz w:val="24"/>
          <w:szCs w:val="24"/>
        </w:rPr>
        <w:t xml:space="preserve">. Análisis de la interacción y </w:t>
      </w:r>
      <w:proofErr w:type="spellStart"/>
      <w:r w:rsidRPr="00407328">
        <w:rPr>
          <w:rFonts w:ascii="Tahoma" w:hAnsi="Tahoma" w:cs="Tahoma"/>
          <w:sz w:val="24"/>
          <w:szCs w:val="24"/>
        </w:rPr>
        <w:t>engagement</w:t>
      </w:r>
      <w:proofErr w:type="spellEnd"/>
      <w:r w:rsidRPr="00407328">
        <w:rPr>
          <w:rFonts w:ascii="Tahoma" w:hAnsi="Tahoma" w:cs="Tahoma"/>
          <w:sz w:val="24"/>
          <w:szCs w:val="24"/>
        </w:rPr>
        <w:t xml:space="preserve"> online en Twitter. In V. Rodríguez </w:t>
      </w:r>
      <w:proofErr w:type="spellStart"/>
      <w:r w:rsidRPr="00407328">
        <w:rPr>
          <w:rFonts w:ascii="Tahoma" w:hAnsi="Tahoma" w:cs="Tahoma"/>
          <w:sz w:val="24"/>
          <w:szCs w:val="24"/>
        </w:rPr>
        <w:t>Breijo</w:t>
      </w:r>
      <w:proofErr w:type="spellEnd"/>
      <w:r w:rsidRPr="00407328">
        <w:rPr>
          <w:rFonts w:ascii="Tahoma" w:hAnsi="Tahoma" w:cs="Tahoma"/>
          <w:sz w:val="24"/>
          <w:szCs w:val="24"/>
        </w:rPr>
        <w:t xml:space="preserve">, M. </w:t>
      </w:r>
      <w:proofErr w:type="spellStart"/>
      <w:r w:rsidRPr="00407328">
        <w:rPr>
          <w:rFonts w:ascii="Tahoma" w:hAnsi="Tahoma" w:cs="Tahoma"/>
          <w:sz w:val="24"/>
          <w:szCs w:val="24"/>
        </w:rPr>
        <w:t>Trenta</w:t>
      </w:r>
      <w:proofErr w:type="spellEnd"/>
      <w:r w:rsidRPr="00407328">
        <w:rPr>
          <w:rFonts w:ascii="Tahoma" w:hAnsi="Tahoma" w:cs="Tahoma"/>
          <w:sz w:val="24"/>
          <w:szCs w:val="24"/>
        </w:rPr>
        <w:t xml:space="preserve">, S. Toledano Buendía, C. Hernández, A. </w:t>
      </w:r>
      <w:proofErr w:type="spellStart"/>
      <w:r w:rsidRPr="00407328">
        <w:rPr>
          <w:rFonts w:ascii="Tahoma" w:hAnsi="Tahoma" w:cs="Tahoma"/>
          <w:sz w:val="24"/>
          <w:szCs w:val="24"/>
        </w:rPr>
        <w:t>Ardèvol</w:t>
      </w:r>
      <w:proofErr w:type="spellEnd"/>
      <w:r w:rsidRPr="00407328">
        <w:rPr>
          <w:rFonts w:ascii="Tahoma" w:hAnsi="Tahoma" w:cs="Tahoma"/>
          <w:sz w:val="24"/>
          <w:szCs w:val="24"/>
        </w:rPr>
        <w:t xml:space="preserve"> Abreu, A. Álvarez </w:t>
      </w:r>
      <w:proofErr w:type="spellStart"/>
      <w:r w:rsidRPr="00407328">
        <w:rPr>
          <w:rFonts w:ascii="Tahoma" w:hAnsi="Tahoma" w:cs="Tahoma"/>
          <w:sz w:val="24"/>
          <w:szCs w:val="24"/>
        </w:rPr>
        <w:t>Nobell</w:t>
      </w:r>
      <w:proofErr w:type="spellEnd"/>
      <w:r w:rsidRPr="00407328">
        <w:rPr>
          <w:rFonts w:ascii="Tahoma" w:hAnsi="Tahoma" w:cs="Tahoma"/>
          <w:sz w:val="24"/>
          <w:szCs w:val="24"/>
        </w:rPr>
        <w:t>, L. Morales, T. Hidalgo-Marí, &amp; A. Barrientos-Báez (Eds.), Las nuevas narrativas en el entorno social (pp. 111–112). Sociedad Latina de Comunicación Social.</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lang w:val="en-US"/>
        </w:rPr>
      </w:pPr>
      <w:r w:rsidRPr="00407328">
        <w:rPr>
          <w:rFonts w:ascii="Tahoma" w:hAnsi="Tahoma" w:cs="Tahoma"/>
          <w:sz w:val="24"/>
          <w:szCs w:val="24"/>
        </w:rPr>
        <w:t xml:space="preserve">Martínez-Sala, A.-M., &amp; Segarra-Saavedra, J. (2020). </w:t>
      </w:r>
      <w:proofErr w:type="spellStart"/>
      <w:r w:rsidRPr="00407328">
        <w:rPr>
          <w:rFonts w:ascii="Tahoma" w:hAnsi="Tahoma" w:cs="Tahoma"/>
          <w:sz w:val="24"/>
          <w:szCs w:val="24"/>
        </w:rPr>
        <w:t>Engagement</w:t>
      </w:r>
      <w:proofErr w:type="spellEnd"/>
      <w:r w:rsidRPr="00407328">
        <w:rPr>
          <w:rFonts w:ascii="Tahoma" w:hAnsi="Tahoma" w:cs="Tahoma"/>
          <w:sz w:val="24"/>
          <w:szCs w:val="24"/>
        </w:rPr>
        <w:t xml:space="preserve"> y </w:t>
      </w:r>
      <w:proofErr w:type="spellStart"/>
      <w:r w:rsidRPr="00407328">
        <w:rPr>
          <w:rFonts w:ascii="Tahoma" w:hAnsi="Tahoma" w:cs="Tahoma"/>
          <w:sz w:val="24"/>
          <w:szCs w:val="24"/>
        </w:rPr>
        <w:t>disengagement</w:t>
      </w:r>
      <w:proofErr w:type="spellEnd"/>
      <w:r w:rsidRPr="00407328">
        <w:rPr>
          <w:rFonts w:ascii="Tahoma" w:hAnsi="Tahoma" w:cs="Tahoma"/>
          <w:sz w:val="24"/>
          <w:szCs w:val="24"/>
        </w:rPr>
        <w:t xml:space="preserve"> online, factores clave en las estrategias de comunicación turística 2.0. In V. Altamirano-Benítez, M. </w:t>
      </w:r>
      <w:proofErr w:type="spellStart"/>
      <w:r w:rsidRPr="00407328">
        <w:rPr>
          <w:rFonts w:ascii="Tahoma" w:hAnsi="Tahoma" w:cs="Tahoma"/>
          <w:sz w:val="24"/>
          <w:szCs w:val="24"/>
        </w:rPr>
        <w:t>Túñez</w:t>
      </w:r>
      <w:proofErr w:type="spellEnd"/>
      <w:r w:rsidRPr="00407328">
        <w:rPr>
          <w:rFonts w:ascii="Tahoma" w:hAnsi="Tahoma" w:cs="Tahoma"/>
          <w:sz w:val="24"/>
          <w:szCs w:val="24"/>
        </w:rPr>
        <w:t xml:space="preserve">-López, &amp; I. Marín-Gutiérrez (Eds.), Tendencias de la Comunicación para el Turismo (pp. 149–183). </w:t>
      </w:r>
      <w:r w:rsidRPr="00407328">
        <w:rPr>
          <w:rFonts w:ascii="Tahoma" w:hAnsi="Tahoma" w:cs="Tahoma"/>
          <w:sz w:val="24"/>
          <w:szCs w:val="24"/>
          <w:lang w:val="en-US"/>
        </w:rPr>
        <w:t xml:space="preserve">Editorial </w:t>
      </w:r>
      <w:proofErr w:type="spellStart"/>
      <w:r w:rsidRPr="00407328">
        <w:rPr>
          <w:rFonts w:ascii="Tahoma" w:hAnsi="Tahoma" w:cs="Tahoma"/>
          <w:sz w:val="24"/>
          <w:szCs w:val="24"/>
          <w:lang w:val="en-US"/>
        </w:rPr>
        <w:t>Dykinson</w:t>
      </w:r>
      <w:proofErr w:type="spellEnd"/>
      <w:r w:rsidRPr="00407328">
        <w:rPr>
          <w:rFonts w:ascii="Tahoma" w:hAnsi="Tahoma" w:cs="Tahoma"/>
          <w:sz w:val="24"/>
          <w:szCs w:val="24"/>
          <w:lang w:val="en-US"/>
        </w:rPr>
        <w:t xml:space="preserve">. </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lang w:val="en-US"/>
        </w:rPr>
      </w:pPr>
      <w:r w:rsidRPr="00407328">
        <w:rPr>
          <w:rFonts w:ascii="Tahoma" w:hAnsi="Tahoma" w:cs="Tahoma"/>
          <w:sz w:val="24"/>
          <w:szCs w:val="24"/>
          <w:lang w:val="en-US"/>
        </w:rPr>
        <w:t xml:space="preserve">Marwick, A. E., &amp; Boyd, D. (2011a). I tweet honestly, I tweet passionately: Twitter users, context collapse, and the imagined audience. New Media &amp; Society, 13(1), 114–133. </w:t>
      </w:r>
      <w:hyperlink r:id="rId37" w:history="1">
        <w:r w:rsidRPr="00407328">
          <w:rPr>
            <w:rStyle w:val="Hipervnculo"/>
            <w:rFonts w:ascii="Tahoma" w:hAnsi="Tahoma" w:cs="Tahoma"/>
            <w:sz w:val="24"/>
            <w:szCs w:val="24"/>
            <w:lang w:val="en-US"/>
          </w:rPr>
          <w:t>https://doi.org/10.1177/1461444810365313</w:t>
        </w:r>
      </w:hyperlink>
      <w:r w:rsidRPr="00407328">
        <w:rPr>
          <w:rFonts w:ascii="Tahoma" w:hAnsi="Tahoma" w:cs="Tahoma"/>
          <w:sz w:val="24"/>
          <w:szCs w:val="24"/>
          <w:lang w:val="en-US"/>
        </w:rPr>
        <w:t xml:space="preserve"> </w:t>
      </w:r>
    </w:p>
    <w:p w:rsidR="00470D63" w:rsidRPr="00407328" w:rsidRDefault="00470D63" w:rsidP="00470D63">
      <w:pPr>
        <w:spacing w:after="0"/>
        <w:ind w:left="284" w:hanging="284"/>
        <w:jc w:val="both"/>
        <w:rPr>
          <w:rFonts w:ascii="Tahoma" w:hAnsi="Tahoma" w:cs="Tahoma"/>
          <w:sz w:val="24"/>
          <w:szCs w:val="24"/>
          <w:lang w:val="en-US"/>
        </w:rPr>
      </w:pPr>
    </w:p>
    <w:p w:rsidR="00470D63" w:rsidRPr="00470D63" w:rsidRDefault="00470D63" w:rsidP="00470D63">
      <w:pPr>
        <w:spacing w:after="0"/>
        <w:ind w:left="284" w:hanging="284"/>
        <w:jc w:val="both"/>
        <w:rPr>
          <w:rFonts w:ascii="Tahoma" w:hAnsi="Tahoma" w:cs="Tahoma"/>
          <w:sz w:val="24"/>
          <w:szCs w:val="24"/>
          <w:lang w:val="es-CL"/>
        </w:rPr>
      </w:pPr>
      <w:r w:rsidRPr="00407328">
        <w:rPr>
          <w:rFonts w:ascii="Tahoma" w:hAnsi="Tahoma" w:cs="Tahoma"/>
          <w:sz w:val="24"/>
          <w:szCs w:val="24"/>
          <w:lang w:val="en-US"/>
        </w:rPr>
        <w:t xml:space="preserve">Marwick, A. E., &amp; Boyd, D. (2011b). To see and be seen: Celebrity Practice on Twitter. Convergence: The International Journal of Research into New Media Technologies, 17(2), 139–158. </w:t>
      </w:r>
      <w:hyperlink r:id="rId38" w:history="1">
        <w:r w:rsidRPr="00470D63">
          <w:rPr>
            <w:rStyle w:val="Hipervnculo"/>
            <w:rFonts w:ascii="Tahoma" w:hAnsi="Tahoma" w:cs="Tahoma"/>
            <w:sz w:val="24"/>
            <w:szCs w:val="24"/>
            <w:lang w:val="es-CL"/>
          </w:rPr>
          <w:t>https://doi.org/10.1177/1354856510394539</w:t>
        </w:r>
      </w:hyperlink>
      <w:r w:rsidRPr="00470D63">
        <w:rPr>
          <w:rFonts w:ascii="Tahoma" w:hAnsi="Tahoma" w:cs="Tahoma"/>
          <w:sz w:val="24"/>
          <w:szCs w:val="24"/>
          <w:lang w:val="es-CL"/>
        </w:rPr>
        <w:t xml:space="preserve"> </w:t>
      </w:r>
    </w:p>
    <w:p w:rsidR="00470D63" w:rsidRPr="00470D63" w:rsidRDefault="00470D63" w:rsidP="00470D63">
      <w:pPr>
        <w:spacing w:after="0"/>
        <w:ind w:left="284" w:hanging="284"/>
        <w:jc w:val="both"/>
        <w:rPr>
          <w:rFonts w:ascii="Tahoma" w:hAnsi="Tahoma" w:cs="Tahoma"/>
          <w:sz w:val="24"/>
          <w:szCs w:val="24"/>
          <w:lang w:val="es-CL"/>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Mayorga Escalada, S. (2019). </w:t>
      </w:r>
      <w:proofErr w:type="spellStart"/>
      <w:r w:rsidRPr="00407328">
        <w:rPr>
          <w:rFonts w:ascii="Tahoma" w:hAnsi="Tahoma" w:cs="Tahoma"/>
          <w:sz w:val="24"/>
          <w:szCs w:val="24"/>
        </w:rPr>
        <w:t>Netflix</w:t>
      </w:r>
      <w:proofErr w:type="spellEnd"/>
      <w:r w:rsidRPr="00407328">
        <w:rPr>
          <w:rFonts w:ascii="Tahoma" w:hAnsi="Tahoma" w:cs="Tahoma"/>
          <w:sz w:val="24"/>
          <w:szCs w:val="24"/>
        </w:rPr>
        <w:t xml:space="preserve">, estrategia y gestión de marca en torno a la relevancia de los contenidos. </w:t>
      </w:r>
      <w:proofErr w:type="spellStart"/>
      <w:r w:rsidRPr="00407328">
        <w:rPr>
          <w:rFonts w:ascii="Tahoma" w:hAnsi="Tahoma" w:cs="Tahoma"/>
          <w:sz w:val="24"/>
          <w:szCs w:val="24"/>
        </w:rPr>
        <w:t>AdComunica</w:t>
      </w:r>
      <w:proofErr w:type="spellEnd"/>
      <w:r w:rsidRPr="00407328">
        <w:rPr>
          <w:rFonts w:ascii="Tahoma" w:hAnsi="Tahoma" w:cs="Tahoma"/>
          <w:sz w:val="24"/>
          <w:szCs w:val="24"/>
        </w:rPr>
        <w:t xml:space="preserve">. Revista Científica de Estrategias, Tendencias e Innovación En Comunicación, 18, 219–244. </w:t>
      </w:r>
      <w:hyperlink r:id="rId39" w:history="1">
        <w:r w:rsidRPr="00407328">
          <w:rPr>
            <w:rStyle w:val="Hipervnculo"/>
            <w:rFonts w:ascii="Tahoma" w:hAnsi="Tahoma" w:cs="Tahoma"/>
            <w:sz w:val="24"/>
            <w:szCs w:val="24"/>
          </w:rPr>
          <w:t>https://doi.org/10.6035/2174-0992.2019.18.11</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Miranda-</w:t>
      </w:r>
      <w:proofErr w:type="spellStart"/>
      <w:r w:rsidRPr="00407328">
        <w:rPr>
          <w:rFonts w:ascii="Tahoma" w:hAnsi="Tahoma" w:cs="Tahoma"/>
          <w:sz w:val="24"/>
          <w:szCs w:val="24"/>
        </w:rPr>
        <w:t>Galbe</w:t>
      </w:r>
      <w:proofErr w:type="spellEnd"/>
      <w:r w:rsidRPr="00407328">
        <w:rPr>
          <w:rFonts w:ascii="Tahoma" w:hAnsi="Tahoma" w:cs="Tahoma"/>
          <w:sz w:val="24"/>
          <w:szCs w:val="24"/>
        </w:rPr>
        <w:t xml:space="preserve">, J., &amp; Cabezuelo-Lorenzo, F. (2018). La importancia de la documentación histórica en el relato </w:t>
      </w:r>
      <w:proofErr w:type="spellStart"/>
      <w:r w:rsidRPr="00407328">
        <w:rPr>
          <w:rFonts w:ascii="Tahoma" w:hAnsi="Tahoma" w:cs="Tahoma"/>
          <w:sz w:val="24"/>
          <w:szCs w:val="24"/>
        </w:rPr>
        <w:t>transmedia</w:t>
      </w:r>
      <w:proofErr w:type="spellEnd"/>
      <w:r w:rsidRPr="00407328">
        <w:rPr>
          <w:rFonts w:ascii="Tahoma" w:hAnsi="Tahoma" w:cs="Tahoma"/>
          <w:sz w:val="24"/>
          <w:szCs w:val="24"/>
        </w:rPr>
        <w:t xml:space="preserve">: el caso de “El Ministerio del Tiempo.” Revista de Ciencias de La Comunicación e Información, 23(1), 15–27. </w:t>
      </w:r>
      <w:hyperlink r:id="rId40" w:history="1">
        <w:r w:rsidRPr="00407328">
          <w:rPr>
            <w:rStyle w:val="Hipervnculo"/>
            <w:rFonts w:ascii="Tahoma" w:hAnsi="Tahoma" w:cs="Tahoma"/>
            <w:sz w:val="24"/>
            <w:szCs w:val="24"/>
          </w:rPr>
          <w:t>http://doi.org/10.35742/rcci.2018.23(1).15-27</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Miranda </w:t>
      </w:r>
      <w:proofErr w:type="spellStart"/>
      <w:r w:rsidRPr="00407328">
        <w:rPr>
          <w:rFonts w:ascii="Tahoma" w:hAnsi="Tahoma" w:cs="Tahoma"/>
          <w:sz w:val="24"/>
          <w:szCs w:val="24"/>
        </w:rPr>
        <w:t>Galbe</w:t>
      </w:r>
      <w:proofErr w:type="spellEnd"/>
      <w:r w:rsidRPr="00407328">
        <w:rPr>
          <w:rFonts w:ascii="Tahoma" w:hAnsi="Tahoma" w:cs="Tahoma"/>
          <w:sz w:val="24"/>
          <w:szCs w:val="24"/>
        </w:rPr>
        <w:t xml:space="preserve">, J., &amp; </w:t>
      </w:r>
      <w:proofErr w:type="spellStart"/>
      <w:r w:rsidRPr="00407328">
        <w:rPr>
          <w:rFonts w:ascii="Tahoma" w:hAnsi="Tahoma" w:cs="Tahoma"/>
          <w:sz w:val="24"/>
          <w:szCs w:val="24"/>
        </w:rPr>
        <w:t>Figuero</w:t>
      </w:r>
      <w:proofErr w:type="spellEnd"/>
      <w:r w:rsidRPr="00407328">
        <w:rPr>
          <w:rFonts w:ascii="Tahoma" w:hAnsi="Tahoma" w:cs="Tahoma"/>
          <w:sz w:val="24"/>
          <w:szCs w:val="24"/>
        </w:rPr>
        <w:t xml:space="preserve"> Espadas, J. (2016). El rol del </w:t>
      </w:r>
      <w:proofErr w:type="spellStart"/>
      <w:r w:rsidRPr="00407328">
        <w:rPr>
          <w:rFonts w:ascii="Tahoma" w:hAnsi="Tahoma" w:cs="Tahoma"/>
          <w:sz w:val="24"/>
          <w:szCs w:val="24"/>
        </w:rPr>
        <w:t>prosumidor</w:t>
      </w:r>
      <w:proofErr w:type="spellEnd"/>
      <w:r w:rsidRPr="00407328">
        <w:rPr>
          <w:rFonts w:ascii="Tahoma" w:hAnsi="Tahoma" w:cs="Tahoma"/>
          <w:sz w:val="24"/>
          <w:szCs w:val="24"/>
        </w:rPr>
        <w:t xml:space="preserve"> en la expansión narrativa </w:t>
      </w:r>
      <w:proofErr w:type="spellStart"/>
      <w:r w:rsidRPr="00407328">
        <w:rPr>
          <w:rFonts w:ascii="Tahoma" w:hAnsi="Tahoma" w:cs="Tahoma"/>
          <w:sz w:val="24"/>
          <w:szCs w:val="24"/>
        </w:rPr>
        <w:t>transmedia</w:t>
      </w:r>
      <w:proofErr w:type="spellEnd"/>
      <w:r w:rsidRPr="00407328">
        <w:rPr>
          <w:rFonts w:ascii="Tahoma" w:hAnsi="Tahoma" w:cs="Tahoma"/>
          <w:sz w:val="24"/>
          <w:szCs w:val="24"/>
        </w:rPr>
        <w:t xml:space="preserve"> de las historias de ficción en televisión: el caso de ‘El Ministerio del Tiempo.’ </w:t>
      </w:r>
      <w:proofErr w:type="spellStart"/>
      <w:r w:rsidRPr="00407328">
        <w:rPr>
          <w:rFonts w:ascii="Tahoma" w:hAnsi="Tahoma" w:cs="Tahoma"/>
          <w:sz w:val="24"/>
          <w:szCs w:val="24"/>
        </w:rPr>
        <w:t>Index.Comunicación</w:t>
      </w:r>
      <w:proofErr w:type="spellEnd"/>
      <w:r w:rsidRPr="00407328">
        <w:rPr>
          <w:rFonts w:ascii="Tahoma" w:hAnsi="Tahoma" w:cs="Tahoma"/>
          <w:sz w:val="24"/>
          <w:szCs w:val="24"/>
        </w:rPr>
        <w:t>, 6(2), 115–134.</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Monserrat-</w:t>
      </w:r>
      <w:proofErr w:type="spellStart"/>
      <w:r w:rsidRPr="00407328">
        <w:rPr>
          <w:rFonts w:ascii="Tahoma" w:hAnsi="Tahoma" w:cs="Tahoma"/>
          <w:sz w:val="24"/>
          <w:szCs w:val="24"/>
        </w:rPr>
        <w:t>Gauchi</w:t>
      </w:r>
      <w:proofErr w:type="spellEnd"/>
      <w:r w:rsidRPr="00407328">
        <w:rPr>
          <w:rFonts w:ascii="Tahoma" w:hAnsi="Tahoma" w:cs="Tahoma"/>
          <w:sz w:val="24"/>
          <w:szCs w:val="24"/>
        </w:rPr>
        <w:t xml:space="preserve">, J., &amp; Martínez-Sala, A.-M. (2016). Cambio de paradigma en la interacción de las empresas con sus públicos. La generación de contenidos a través de Facebook. In M. </w:t>
      </w:r>
      <w:proofErr w:type="spellStart"/>
      <w:r w:rsidRPr="00407328">
        <w:rPr>
          <w:rFonts w:ascii="Tahoma" w:hAnsi="Tahoma" w:cs="Tahoma"/>
          <w:sz w:val="24"/>
          <w:szCs w:val="24"/>
        </w:rPr>
        <w:t>Mut</w:t>
      </w:r>
      <w:proofErr w:type="spellEnd"/>
      <w:r w:rsidRPr="00407328">
        <w:rPr>
          <w:rFonts w:ascii="Tahoma" w:hAnsi="Tahoma" w:cs="Tahoma"/>
          <w:sz w:val="24"/>
          <w:szCs w:val="24"/>
        </w:rPr>
        <w:t xml:space="preserve">, A. Oliveira, R. Alberto Pérez, &amp; J. </w:t>
      </w:r>
      <w:proofErr w:type="spellStart"/>
      <w:r w:rsidRPr="00407328">
        <w:rPr>
          <w:rFonts w:ascii="Tahoma" w:hAnsi="Tahoma" w:cs="Tahoma"/>
          <w:sz w:val="24"/>
          <w:szCs w:val="24"/>
        </w:rPr>
        <w:t>Xifra</w:t>
      </w:r>
      <w:proofErr w:type="spellEnd"/>
      <w:r w:rsidRPr="00407328">
        <w:rPr>
          <w:rFonts w:ascii="Tahoma" w:hAnsi="Tahoma" w:cs="Tahoma"/>
          <w:sz w:val="24"/>
          <w:szCs w:val="24"/>
        </w:rPr>
        <w:t xml:space="preserve"> (Eds.), Casos de estudio de Relaciones Públicas. Sociedad conectada: empresas y universidades (pp. 59–85). Editorial UOC. Colección DIRCOM.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lang w:val="en-US"/>
        </w:rPr>
      </w:pPr>
      <w:r w:rsidRPr="00407328">
        <w:rPr>
          <w:rFonts w:ascii="Tahoma" w:hAnsi="Tahoma" w:cs="Tahoma"/>
          <w:sz w:val="24"/>
          <w:szCs w:val="24"/>
        </w:rPr>
        <w:t>Monserrat-</w:t>
      </w:r>
      <w:proofErr w:type="spellStart"/>
      <w:r w:rsidRPr="00407328">
        <w:rPr>
          <w:rFonts w:ascii="Tahoma" w:hAnsi="Tahoma" w:cs="Tahoma"/>
          <w:sz w:val="24"/>
          <w:szCs w:val="24"/>
        </w:rPr>
        <w:t>Gauchi</w:t>
      </w:r>
      <w:proofErr w:type="spellEnd"/>
      <w:r w:rsidRPr="00407328">
        <w:rPr>
          <w:rFonts w:ascii="Tahoma" w:hAnsi="Tahoma" w:cs="Tahoma"/>
          <w:sz w:val="24"/>
          <w:szCs w:val="24"/>
        </w:rPr>
        <w:t xml:space="preserve">, J., Quiles-Soler, M.-C., &amp; Martínez-Sala, A.-M. (2017). La participación ciudadana en la comunicación de las organizaciones. Análisis de las franquicias de salud-belleza, decoración y restauración. </w:t>
      </w:r>
      <w:proofErr w:type="spellStart"/>
      <w:r w:rsidRPr="00407328">
        <w:rPr>
          <w:rFonts w:ascii="Tahoma" w:hAnsi="Tahoma" w:cs="Tahoma"/>
          <w:sz w:val="24"/>
          <w:szCs w:val="24"/>
          <w:lang w:val="en-US"/>
        </w:rPr>
        <w:t>Prisma</w:t>
      </w:r>
      <w:proofErr w:type="spellEnd"/>
      <w:r w:rsidRPr="00407328">
        <w:rPr>
          <w:rFonts w:ascii="Tahoma" w:hAnsi="Tahoma" w:cs="Tahoma"/>
          <w:sz w:val="24"/>
          <w:szCs w:val="24"/>
          <w:lang w:val="en-US"/>
        </w:rPr>
        <w:t xml:space="preserve"> Social, 18, 540–560.</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lang w:val="en-US"/>
        </w:rPr>
      </w:pPr>
      <w:r w:rsidRPr="00407328">
        <w:rPr>
          <w:rFonts w:ascii="Tahoma" w:hAnsi="Tahoma" w:cs="Tahoma"/>
          <w:sz w:val="24"/>
          <w:szCs w:val="24"/>
          <w:lang w:val="en-US"/>
        </w:rPr>
        <w:t xml:space="preserve">Morimoto, S. A., &amp; </w:t>
      </w:r>
      <w:proofErr w:type="spellStart"/>
      <w:r w:rsidRPr="00407328">
        <w:rPr>
          <w:rFonts w:ascii="Tahoma" w:hAnsi="Tahoma" w:cs="Tahoma"/>
          <w:sz w:val="24"/>
          <w:szCs w:val="24"/>
          <w:lang w:val="en-US"/>
        </w:rPr>
        <w:t>Friedland</w:t>
      </w:r>
      <w:proofErr w:type="spellEnd"/>
      <w:r w:rsidRPr="00407328">
        <w:rPr>
          <w:rFonts w:ascii="Tahoma" w:hAnsi="Tahoma" w:cs="Tahoma"/>
          <w:sz w:val="24"/>
          <w:szCs w:val="24"/>
          <w:lang w:val="en-US"/>
        </w:rPr>
        <w:t xml:space="preserve">, L. A. (2011). The lifeworld of youth in the information society. Youth and Society, 43(2), 549–567. </w:t>
      </w:r>
      <w:hyperlink r:id="rId41" w:history="1">
        <w:r w:rsidRPr="00407328">
          <w:rPr>
            <w:rStyle w:val="Hipervnculo"/>
            <w:rFonts w:ascii="Tahoma" w:hAnsi="Tahoma" w:cs="Tahoma"/>
            <w:sz w:val="24"/>
            <w:szCs w:val="24"/>
            <w:lang w:val="en-US"/>
          </w:rPr>
          <w:t>https://doi.org/10.1177/0044118X10383655</w:t>
        </w:r>
      </w:hyperlink>
      <w:r w:rsidRPr="00407328">
        <w:rPr>
          <w:rFonts w:ascii="Tahoma" w:hAnsi="Tahoma" w:cs="Tahoma"/>
          <w:sz w:val="24"/>
          <w:szCs w:val="24"/>
          <w:lang w:val="en-US"/>
        </w:rPr>
        <w:t xml:space="preserve"> </w:t>
      </w:r>
    </w:p>
    <w:p w:rsidR="00470D63" w:rsidRPr="00407328" w:rsidRDefault="00470D63" w:rsidP="00470D63">
      <w:pPr>
        <w:spacing w:after="0"/>
        <w:ind w:left="284" w:hanging="284"/>
        <w:jc w:val="both"/>
        <w:rPr>
          <w:rFonts w:ascii="Tahoma" w:hAnsi="Tahoma" w:cs="Tahoma"/>
          <w:sz w:val="24"/>
          <w:szCs w:val="24"/>
          <w:lang w:val="en-US"/>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lang w:val="en-US"/>
        </w:rPr>
        <w:t>Muruzábal</w:t>
      </w:r>
      <w:proofErr w:type="spellEnd"/>
      <w:r w:rsidRPr="00407328">
        <w:rPr>
          <w:rFonts w:ascii="Tahoma" w:hAnsi="Tahoma" w:cs="Tahoma"/>
          <w:sz w:val="24"/>
          <w:szCs w:val="24"/>
          <w:lang w:val="en-US"/>
        </w:rPr>
        <w:t xml:space="preserve">, A., &amp; </w:t>
      </w:r>
      <w:proofErr w:type="spellStart"/>
      <w:r w:rsidRPr="00407328">
        <w:rPr>
          <w:rFonts w:ascii="Tahoma" w:hAnsi="Tahoma" w:cs="Tahoma"/>
          <w:sz w:val="24"/>
          <w:szCs w:val="24"/>
          <w:lang w:val="en-US"/>
        </w:rPr>
        <w:t>Grandío</w:t>
      </w:r>
      <w:proofErr w:type="spellEnd"/>
      <w:r w:rsidRPr="00407328">
        <w:rPr>
          <w:rFonts w:ascii="Tahoma" w:hAnsi="Tahoma" w:cs="Tahoma"/>
          <w:sz w:val="24"/>
          <w:szCs w:val="24"/>
          <w:lang w:val="en-US"/>
        </w:rPr>
        <w:t xml:space="preserve">, M. (2009). </w:t>
      </w:r>
      <w:r w:rsidRPr="00407328">
        <w:rPr>
          <w:rFonts w:ascii="Tahoma" w:hAnsi="Tahoma" w:cs="Tahoma"/>
          <w:sz w:val="24"/>
          <w:szCs w:val="24"/>
        </w:rPr>
        <w:t xml:space="preserve">La representación de la guerra en la ficción televisiva norteamericana </w:t>
      </w:r>
      <w:proofErr w:type="spellStart"/>
      <w:r w:rsidRPr="00407328">
        <w:rPr>
          <w:rFonts w:ascii="Tahoma" w:hAnsi="Tahoma" w:cs="Tahoma"/>
          <w:sz w:val="24"/>
          <w:szCs w:val="24"/>
        </w:rPr>
        <w:t>contemporánea</w:t>
      </w:r>
      <w:proofErr w:type="gramStart"/>
      <w:r w:rsidRPr="00407328">
        <w:rPr>
          <w:rFonts w:ascii="Tahoma" w:hAnsi="Tahoma" w:cs="Tahoma"/>
          <w:sz w:val="24"/>
          <w:szCs w:val="24"/>
        </w:rPr>
        <w:t>;Representation</w:t>
      </w:r>
      <w:proofErr w:type="spellEnd"/>
      <w:proofErr w:type="gramEnd"/>
      <w:r w:rsidRPr="00407328">
        <w:rPr>
          <w:rFonts w:ascii="Tahoma" w:hAnsi="Tahoma" w:cs="Tahoma"/>
          <w:sz w:val="24"/>
          <w:szCs w:val="24"/>
        </w:rPr>
        <w:t xml:space="preserve"> of </w:t>
      </w:r>
      <w:proofErr w:type="spellStart"/>
      <w:r w:rsidRPr="00407328">
        <w:rPr>
          <w:rFonts w:ascii="Tahoma" w:hAnsi="Tahoma" w:cs="Tahoma"/>
          <w:sz w:val="24"/>
          <w:szCs w:val="24"/>
        </w:rPr>
        <w:t>War</w:t>
      </w:r>
      <w:proofErr w:type="spellEnd"/>
      <w:r w:rsidRPr="00407328">
        <w:rPr>
          <w:rFonts w:ascii="Tahoma" w:hAnsi="Tahoma" w:cs="Tahoma"/>
          <w:sz w:val="24"/>
          <w:szCs w:val="24"/>
        </w:rPr>
        <w:t xml:space="preserve"> in </w:t>
      </w:r>
      <w:proofErr w:type="spellStart"/>
      <w:r w:rsidRPr="00407328">
        <w:rPr>
          <w:rFonts w:ascii="Tahoma" w:hAnsi="Tahoma" w:cs="Tahoma"/>
          <w:sz w:val="24"/>
          <w:szCs w:val="24"/>
        </w:rPr>
        <w:t>Contemporary</w:t>
      </w:r>
      <w:proofErr w:type="spellEnd"/>
      <w:r w:rsidRPr="00407328">
        <w:rPr>
          <w:rFonts w:ascii="Tahoma" w:hAnsi="Tahoma" w:cs="Tahoma"/>
          <w:sz w:val="24"/>
          <w:szCs w:val="24"/>
        </w:rPr>
        <w:t xml:space="preserve"> American </w:t>
      </w:r>
      <w:proofErr w:type="spellStart"/>
      <w:r w:rsidRPr="00407328">
        <w:rPr>
          <w:rFonts w:ascii="Tahoma" w:hAnsi="Tahoma" w:cs="Tahoma"/>
          <w:sz w:val="24"/>
          <w:szCs w:val="24"/>
        </w:rPr>
        <w:t>Television</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Fiction</w:t>
      </w:r>
      <w:proofErr w:type="spellEnd"/>
      <w:r w:rsidRPr="00407328">
        <w:rPr>
          <w:rFonts w:ascii="Tahoma" w:hAnsi="Tahoma" w:cs="Tahoma"/>
          <w:sz w:val="24"/>
          <w:szCs w:val="24"/>
        </w:rPr>
        <w:t xml:space="preserve">. Mediaciones Sociales, 5, 63–83. </w:t>
      </w:r>
      <w:hyperlink r:id="rId42" w:history="1">
        <w:r w:rsidRPr="00407328">
          <w:rPr>
            <w:rStyle w:val="Hipervnculo"/>
            <w:rFonts w:ascii="Tahoma" w:hAnsi="Tahoma" w:cs="Tahoma"/>
            <w:sz w:val="24"/>
            <w:szCs w:val="24"/>
          </w:rPr>
          <w:t>https://doi.org/10.5209/rev_MESO.2009.n5.22324</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rPr>
        <w:t>Navar</w:t>
      </w:r>
      <w:proofErr w:type="spellEnd"/>
      <w:r w:rsidRPr="00407328">
        <w:rPr>
          <w:rFonts w:ascii="Tahoma" w:hAnsi="Tahoma" w:cs="Tahoma"/>
          <w:sz w:val="24"/>
          <w:szCs w:val="24"/>
        </w:rPr>
        <w:t xml:space="preserve">-Gill, A. (2018). </w:t>
      </w:r>
      <w:r w:rsidRPr="00407328">
        <w:rPr>
          <w:rFonts w:ascii="Tahoma" w:hAnsi="Tahoma" w:cs="Tahoma"/>
          <w:sz w:val="24"/>
          <w:szCs w:val="24"/>
          <w:lang w:val="en-US"/>
        </w:rPr>
        <w:t xml:space="preserve">From Strategic Retweets to Group Hangs: Writers’ Room Twitter Accounts and the Productive Ecosystem of TV Social Media Fans. </w:t>
      </w:r>
      <w:proofErr w:type="spellStart"/>
      <w:r w:rsidRPr="00407328">
        <w:rPr>
          <w:rFonts w:ascii="Tahoma" w:hAnsi="Tahoma" w:cs="Tahoma"/>
          <w:sz w:val="24"/>
          <w:szCs w:val="24"/>
        </w:rPr>
        <w:t>Television</w:t>
      </w:r>
      <w:proofErr w:type="spellEnd"/>
      <w:r w:rsidRPr="00407328">
        <w:rPr>
          <w:rFonts w:ascii="Tahoma" w:hAnsi="Tahoma" w:cs="Tahoma"/>
          <w:sz w:val="24"/>
          <w:szCs w:val="24"/>
        </w:rPr>
        <w:t xml:space="preserve"> and New Media, 19(5), 415–430. </w:t>
      </w:r>
      <w:hyperlink r:id="rId43" w:history="1">
        <w:r w:rsidRPr="00407328">
          <w:rPr>
            <w:rStyle w:val="Hipervnculo"/>
            <w:rFonts w:ascii="Tahoma" w:hAnsi="Tahoma" w:cs="Tahoma"/>
            <w:sz w:val="24"/>
            <w:szCs w:val="24"/>
          </w:rPr>
          <w:t>https://doi.org/10.1177/1527476417728376</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Neira, E. (2015). Audiencia social</w:t>
      </w:r>
      <w:proofErr w:type="gramStart"/>
      <w:r w:rsidRPr="00407328">
        <w:rPr>
          <w:rFonts w:ascii="Tahoma" w:hAnsi="Tahoma" w:cs="Tahoma"/>
          <w:sz w:val="24"/>
          <w:szCs w:val="24"/>
        </w:rPr>
        <w:t>:¿</w:t>
      </w:r>
      <w:proofErr w:type="gramEnd"/>
      <w:r w:rsidRPr="00407328">
        <w:rPr>
          <w:rFonts w:ascii="Tahoma" w:hAnsi="Tahoma" w:cs="Tahoma"/>
          <w:sz w:val="24"/>
          <w:szCs w:val="24"/>
        </w:rPr>
        <w:t xml:space="preserve">consiguen las redes sociales que veamos más televisión? In N. Quintas </w:t>
      </w:r>
      <w:proofErr w:type="spellStart"/>
      <w:r w:rsidRPr="00407328">
        <w:rPr>
          <w:rFonts w:ascii="Tahoma" w:hAnsi="Tahoma" w:cs="Tahoma"/>
          <w:sz w:val="24"/>
          <w:szCs w:val="24"/>
        </w:rPr>
        <w:t>Froufe</w:t>
      </w:r>
      <w:proofErr w:type="spellEnd"/>
      <w:r w:rsidRPr="00407328">
        <w:rPr>
          <w:rFonts w:ascii="Tahoma" w:hAnsi="Tahoma" w:cs="Tahoma"/>
          <w:sz w:val="24"/>
          <w:szCs w:val="24"/>
        </w:rPr>
        <w:t xml:space="preserve"> &amp; A. González Neira (Eds.), La participación de la audiencia en la televisión: de la audiencia activa a la social (pp. 47–59). AIMC, Asociación para la Investigación de Medios de Comunicación.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Neira, E. (2018). Impacto del modelo </w:t>
      </w:r>
      <w:proofErr w:type="spellStart"/>
      <w:r w:rsidRPr="00407328">
        <w:rPr>
          <w:rFonts w:ascii="Tahoma" w:hAnsi="Tahoma" w:cs="Tahoma"/>
          <w:sz w:val="24"/>
          <w:szCs w:val="24"/>
        </w:rPr>
        <w:t>Netflix</w:t>
      </w:r>
      <w:proofErr w:type="spellEnd"/>
      <w:r w:rsidRPr="00407328">
        <w:rPr>
          <w:rFonts w:ascii="Tahoma" w:hAnsi="Tahoma" w:cs="Tahoma"/>
          <w:sz w:val="24"/>
          <w:szCs w:val="24"/>
        </w:rPr>
        <w:t xml:space="preserve"> en el consumo cultural en pantallas: Big Data, </w:t>
      </w:r>
      <w:proofErr w:type="spellStart"/>
      <w:r w:rsidRPr="00407328">
        <w:rPr>
          <w:rFonts w:ascii="Tahoma" w:hAnsi="Tahoma" w:cs="Tahoma"/>
          <w:sz w:val="24"/>
          <w:szCs w:val="24"/>
        </w:rPr>
        <w:t>susrcripción</w:t>
      </w:r>
      <w:proofErr w:type="spellEnd"/>
      <w:r w:rsidRPr="00407328">
        <w:rPr>
          <w:rFonts w:ascii="Tahoma" w:hAnsi="Tahoma" w:cs="Tahoma"/>
          <w:sz w:val="24"/>
          <w:szCs w:val="24"/>
        </w:rPr>
        <w:t xml:space="preserve"> y </w:t>
      </w:r>
      <w:proofErr w:type="spellStart"/>
      <w:r w:rsidRPr="00407328">
        <w:rPr>
          <w:rFonts w:ascii="Tahoma" w:hAnsi="Tahoma" w:cs="Tahoma"/>
          <w:sz w:val="24"/>
          <w:szCs w:val="24"/>
        </w:rPr>
        <w:t>long</w:t>
      </w:r>
      <w:proofErr w:type="spellEnd"/>
      <w:r w:rsidRPr="00407328">
        <w:rPr>
          <w:rFonts w:ascii="Tahoma" w:hAnsi="Tahoma" w:cs="Tahoma"/>
          <w:sz w:val="24"/>
          <w:szCs w:val="24"/>
        </w:rPr>
        <w:t xml:space="preserve"> </w:t>
      </w:r>
      <w:proofErr w:type="spellStart"/>
      <w:r w:rsidRPr="00407328">
        <w:rPr>
          <w:rFonts w:ascii="Tahoma" w:hAnsi="Tahoma" w:cs="Tahoma"/>
          <w:sz w:val="24"/>
          <w:szCs w:val="24"/>
        </w:rPr>
        <w:t>tail</w:t>
      </w:r>
      <w:proofErr w:type="spellEnd"/>
      <w:r w:rsidRPr="00407328">
        <w:rPr>
          <w:rFonts w:ascii="Tahoma" w:hAnsi="Tahoma" w:cs="Tahoma"/>
          <w:sz w:val="24"/>
          <w:szCs w:val="24"/>
        </w:rPr>
        <w:t>. Anuario AC/E de Cultura Digital 2018, 68–79.</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Pavón-</w:t>
      </w:r>
      <w:proofErr w:type="spellStart"/>
      <w:r w:rsidRPr="00407328">
        <w:rPr>
          <w:rFonts w:ascii="Tahoma" w:hAnsi="Tahoma" w:cs="Tahoma"/>
          <w:sz w:val="24"/>
          <w:szCs w:val="24"/>
        </w:rPr>
        <w:t>Arrizabalaga</w:t>
      </w:r>
      <w:proofErr w:type="spellEnd"/>
      <w:r w:rsidRPr="00407328">
        <w:rPr>
          <w:rFonts w:ascii="Tahoma" w:hAnsi="Tahoma" w:cs="Tahoma"/>
          <w:sz w:val="24"/>
          <w:szCs w:val="24"/>
        </w:rPr>
        <w:t xml:space="preserve">, A., </w:t>
      </w:r>
      <w:proofErr w:type="spellStart"/>
      <w:r w:rsidRPr="00407328">
        <w:rPr>
          <w:rFonts w:ascii="Tahoma" w:hAnsi="Tahoma" w:cs="Tahoma"/>
          <w:sz w:val="24"/>
          <w:szCs w:val="24"/>
        </w:rPr>
        <w:t>Zuberogoitia</w:t>
      </w:r>
      <w:proofErr w:type="spellEnd"/>
      <w:r w:rsidRPr="00407328">
        <w:rPr>
          <w:rFonts w:ascii="Tahoma" w:hAnsi="Tahoma" w:cs="Tahoma"/>
          <w:sz w:val="24"/>
          <w:szCs w:val="24"/>
        </w:rPr>
        <w:t xml:space="preserve">, A., </w:t>
      </w:r>
      <w:proofErr w:type="spellStart"/>
      <w:r w:rsidRPr="00407328">
        <w:rPr>
          <w:rFonts w:ascii="Tahoma" w:hAnsi="Tahoma" w:cs="Tahoma"/>
          <w:sz w:val="24"/>
          <w:szCs w:val="24"/>
        </w:rPr>
        <w:t>Astigarraga</w:t>
      </w:r>
      <w:proofErr w:type="spellEnd"/>
      <w:r w:rsidRPr="00407328">
        <w:rPr>
          <w:rFonts w:ascii="Tahoma" w:hAnsi="Tahoma" w:cs="Tahoma"/>
          <w:sz w:val="24"/>
          <w:szCs w:val="24"/>
        </w:rPr>
        <w:t xml:space="preserve">, I., </w:t>
      </w:r>
      <w:proofErr w:type="spellStart"/>
      <w:r w:rsidRPr="00407328">
        <w:rPr>
          <w:rFonts w:ascii="Tahoma" w:hAnsi="Tahoma" w:cs="Tahoma"/>
          <w:sz w:val="24"/>
          <w:szCs w:val="24"/>
        </w:rPr>
        <w:t>Unibertsitatea</w:t>
      </w:r>
      <w:proofErr w:type="spellEnd"/>
      <w:r w:rsidRPr="00407328">
        <w:rPr>
          <w:rFonts w:ascii="Tahoma" w:hAnsi="Tahoma" w:cs="Tahoma"/>
          <w:sz w:val="24"/>
          <w:szCs w:val="24"/>
        </w:rPr>
        <w:t xml:space="preserve">, M., &amp; </w:t>
      </w:r>
      <w:proofErr w:type="spellStart"/>
      <w:r w:rsidRPr="00407328">
        <w:rPr>
          <w:rFonts w:ascii="Tahoma" w:hAnsi="Tahoma" w:cs="Tahoma"/>
          <w:sz w:val="24"/>
          <w:szCs w:val="24"/>
        </w:rPr>
        <w:t>Juaristi</w:t>
      </w:r>
      <w:proofErr w:type="spellEnd"/>
      <w:r w:rsidRPr="00407328">
        <w:rPr>
          <w:rFonts w:ascii="Tahoma" w:hAnsi="Tahoma" w:cs="Tahoma"/>
          <w:sz w:val="24"/>
          <w:szCs w:val="24"/>
        </w:rPr>
        <w:t xml:space="preserve">, P. (2016). Consumo de series de televisión de los adolescentes en la era de la digitalización audiovisual : prácticas y motivaciones. Dígitos, Revista de Comunicación Digital, 2(2), 35–52.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Piñeiro-Otero, T. (2020). Flash Gordon. La expansión del héroe intergaláctico como ejemplo de arqueología </w:t>
      </w:r>
      <w:proofErr w:type="spellStart"/>
      <w:r w:rsidRPr="00407328">
        <w:rPr>
          <w:rFonts w:ascii="Tahoma" w:hAnsi="Tahoma" w:cs="Tahoma"/>
          <w:sz w:val="24"/>
          <w:szCs w:val="24"/>
        </w:rPr>
        <w:t>transmedia</w:t>
      </w:r>
      <w:proofErr w:type="spellEnd"/>
      <w:r w:rsidRPr="00407328">
        <w:rPr>
          <w:rFonts w:ascii="Tahoma" w:hAnsi="Tahoma" w:cs="Tahoma"/>
          <w:sz w:val="24"/>
          <w:szCs w:val="24"/>
        </w:rPr>
        <w:t xml:space="preserve">. Historia y Comunicación Social, 25(1), 45–56. </w:t>
      </w:r>
      <w:hyperlink r:id="rId44" w:history="1">
        <w:r w:rsidRPr="00407328">
          <w:rPr>
            <w:rStyle w:val="Hipervnculo"/>
            <w:rFonts w:ascii="Tahoma" w:hAnsi="Tahoma" w:cs="Tahoma"/>
            <w:sz w:val="24"/>
            <w:szCs w:val="24"/>
          </w:rPr>
          <w:t>https://doi.org/10.5209/hics.69226</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70D63" w:rsidRDefault="00470D63" w:rsidP="00470D63">
      <w:pPr>
        <w:spacing w:after="0"/>
        <w:ind w:left="284" w:hanging="284"/>
        <w:jc w:val="both"/>
        <w:rPr>
          <w:rFonts w:ascii="Tahoma" w:hAnsi="Tahoma" w:cs="Tahoma"/>
          <w:sz w:val="24"/>
          <w:szCs w:val="24"/>
          <w:lang w:val="es-CL"/>
        </w:rPr>
      </w:pPr>
      <w:proofErr w:type="spellStart"/>
      <w:r w:rsidRPr="00407328">
        <w:rPr>
          <w:rFonts w:ascii="Tahoma" w:hAnsi="Tahoma" w:cs="Tahoma"/>
          <w:sz w:val="24"/>
          <w:szCs w:val="24"/>
        </w:rPr>
        <w:t>Prensky</w:t>
      </w:r>
      <w:proofErr w:type="spellEnd"/>
      <w:r w:rsidRPr="00407328">
        <w:rPr>
          <w:rFonts w:ascii="Tahoma" w:hAnsi="Tahoma" w:cs="Tahoma"/>
          <w:sz w:val="24"/>
          <w:szCs w:val="24"/>
        </w:rPr>
        <w:t xml:space="preserve">, M. (2001). </w:t>
      </w:r>
      <w:r w:rsidRPr="00407328">
        <w:rPr>
          <w:rFonts w:ascii="Tahoma" w:hAnsi="Tahoma" w:cs="Tahoma"/>
          <w:sz w:val="24"/>
          <w:szCs w:val="24"/>
          <w:lang w:val="en-US"/>
        </w:rPr>
        <w:t xml:space="preserve">Digital Natives, Digital Immigrants. On the Horizon, 9(5), 1–6. </w:t>
      </w:r>
      <w:hyperlink r:id="rId45" w:history="1">
        <w:r w:rsidRPr="00470D63">
          <w:rPr>
            <w:rStyle w:val="Hipervnculo"/>
            <w:rFonts w:ascii="Tahoma" w:hAnsi="Tahoma" w:cs="Tahoma"/>
            <w:sz w:val="24"/>
            <w:szCs w:val="24"/>
            <w:lang w:val="es-CL"/>
          </w:rPr>
          <w:t>https://doi.org/10.1108/10748120110424816</w:t>
        </w:r>
      </w:hyperlink>
      <w:r w:rsidRPr="00470D63">
        <w:rPr>
          <w:rFonts w:ascii="Tahoma" w:hAnsi="Tahoma" w:cs="Tahoma"/>
          <w:sz w:val="24"/>
          <w:szCs w:val="24"/>
          <w:lang w:val="es-CL"/>
        </w:rPr>
        <w:t xml:space="preserve"> </w:t>
      </w:r>
    </w:p>
    <w:p w:rsidR="00470D63" w:rsidRPr="00470D63" w:rsidRDefault="00470D63" w:rsidP="00470D63">
      <w:pPr>
        <w:spacing w:after="0"/>
        <w:ind w:left="284" w:hanging="284"/>
        <w:jc w:val="both"/>
        <w:rPr>
          <w:rFonts w:ascii="Tahoma" w:hAnsi="Tahoma" w:cs="Tahoma"/>
          <w:sz w:val="24"/>
          <w:szCs w:val="24"/>
          <w:lang w:val="es-CL"/>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Quintas-</w:t>
      </w:r>
      <w:proofErr w:type="spellStart"/>
      <w:r w:rsidRPr="00407328">
        <w:rPr>
          <w:rFonts w:ascii="Tahoma" w:hAnsi="Tahoma" w:cs="Tahoma"/>
          <w:sz w:val="24"/>
          <w:szCs w:val="24"/>
        </w:rPr>
        <w:t>Froufe</w:t>
      </w:r>
      <w:proofErr w:type="spellEnd"/>
      <w:r w:rsidRPr="00407328">
        <w:rPr>
          <w:rFonts w:ascii="Tahoma" w:hAnsi="Tahoma" w:cs="Tahoma"/>
          <w:sz w:val="24"/>
          <w:szCs w:val="24"/>
        </w:rPr>
        <w:t xml:space="preserve">, N., &amp; González-Neira, A. (2014). Audiencias activas: participación de la audiencia social en la televisión. Comunicar, </w:t>
      </w:r>
      <w:proofErr w:type="gramStart"/>
      <w:r w:rsidRPr="00407328">
        <w:rPr>
          <w:rFonts w:ascii="Tahoma" w:hAnsi="Tahoma" w:cs="Tahoma"/>
          <w:sz w:val="24"/>
          <w:szCs w:val="24"/>
        </w:rPr>
        <w:t>XXII(</w:t>
      </w:r>
      <w:proofErr w:type="gramEnd"/>
      <w:r w:rsidRPr="00407328">
        <w:rPr>
          <w:rFonts w:ascii="Tahoma" w:hAnsi="Tahoma" w:cs="Tahoma"/>
          <w:sz w:val="24"/>
          <w:szCs w:val="24"/>
        </w:rPr>
        <w:t xml:space="preserve">43), 83–90. </w:t>
      </w:r>
      <w:hyperlink r:id="rId46" w:history="1">
        <w:r w:rsidRPr="00407328">
          <w:rPr>
            <w:rStyle w:val="Hipervnculo"/>
            <w:rFonts w:ascii="Tahoma" w:hAnsi="Tahoma" w:cs="Tahoma"/>
            <w:sz w:val="24"/>
            <w:szCs w:val="24"/>
          </w:rPr>
          <w:t>https://doi.org/10.3916/C43-2014-08</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Ramos Méndez, D., &amp; Ortega-</w:t>
      </w:r>
      <w:proofErr w:type="spellStart"/>
      <w:r w:rsidRPr="00407328">
        <w:rPr>
          <w:rFonts w:ascii="Tahoma" w:hAnsi="Tahoma" w:cs="Tahoma"/>
          <w:sz w:val="24"/>
          <w:szCs w:val="24"/>
        </w:rPr>
        <w:t>Mohedano</w:t>
      </w:r>
      <w:proofErr w:type="spellEnd"/>
      <w:r w:rsidRPr="00407328">
        <w:rPr>
          <w:rFonts w:ascii="Tahoma" w:hAnsi="Tahoma" w:cs="Tahoma"/>
          <w:sz w:val="24"/>
          <w:szCs w:val="24"/>
        </w:rPr>
        <w:t xml:space="preserve">, F. (2017). La revolución en los hábitos de uso y consumo de vídeo en teléfonos inteligentes entre usuarios </w:t>
      </w:r>
      <w:proofErr w:type="spellStart"/>
      <w:r w:rsidRPr="00407328">
        <w:rPr>
          <w:rFonts w:ascii="Tahoma" w:hAnsi="Tahoma" w:cs="Tahoma"/>
          <w:sz w:val="24"/>
          <w:szCs w:val="24"/>
        </w:rPr>
        <w:t>Millenials</w:t>
      </w:r>
      <w:proofErr w:type="spellEnd"/>
      <w:r w:rsidRPr="00407328">
        <w:rPr>
          <w:rFonts w:ascii="Tahoma" w:hAnsi="Tahoma" w:cs="Tahoma"/>
          <w:sz w:val="24"/>
          <w:szCs w:val="24"/>
        </w:rPr>
        <w:t xml:space="preserve">, la encrucijada revelada. Revista Latina de </w:t>
      </w:r>
      <w:proofErr w:type="spellStart"/>
      <w:r w:rsidRPr="00407328">
        <w:rPr>
          <w:rFonts w:ascii="Tahoma" w:hAnsi="Tahoma" w:cs="Tahoma"/>
          <w:sz w:val="24"/>
          <w:szCs w:val="24"/>
        </w:rPr>
        <w:t>Comunicacion</w:t>
      </w:r>
      <w:proofErr w:type="spellEnd"/>
      <w:r w:rsidRPr="00407328">
        <w:rPr>
          <w:rFonts w:ascii="Tahoma" w:hAnsi="Tahoma" w:cs="Tahoma"/>
          <w:sz w:val="24"/>
          <w:szCs w:val="24"/>
        </w:rPr>
        <w:t xml:space="preserve"> Social, 72, 704–718. </w:t>
      </w:r>
      <w:hyperlink r:id="rId47" w:history="1">
        <w:r w:rsidRPr="00407328">
          <w:rPr>
            <w:rStyle w:val="Hipervnculo"/>
            <w:rFonts w:ascii="Tahoma" w:hAnsi="Tahoma" w:cs="Tahoma"/>
            <w:sz w:val="24"/>
            <w:szCs w:val="24"/>
          </w:rPr>
          <w:t>https://doi.org/10.4185/RLCS-2017-1187</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Rodríguez </w:t>
      </w:r>
      <w:proofErr w:type="spellStart"/>
      <w:r w:rsidRPr="00407328">
        <w:rPr>
          <w:rFonts w:ascii="Tahoma" w:hAnsi="Tahoma" w:cs="Tahoma"/>
          <w:sz w:val="24"/>
          <w:szCs w:val="24"/>
        </w:rPr>
        <w:t>Pastene</w:t>
      </w:r>
      <w:proofErr w:type="spellEnd"/>
      <w:r w:rsidRPr="00407328">
        <w:rPr>
          <w:rFonts w:ascii="Tahoma" w:hAnsi="Tahoma" w:cs="Tahoma"/>
          <w:sz w:val="24"/>
          <w:szCs w:val="24"/>
        </w:rPr>
        <w:t xml:space="preserve">-Vicencio, F. (2017). Pasado presente. La construcción del tiempo en las narrativas </w:t>
      </w:r>
      <w:proofErr w:type="spellStart"/>
      <w:r w:rsidRPr="00407328">
        <w:rPr>
          <w:rFonts w:ascii="Tahoma" w:hAnsi="Tahoma" w:cs="Tahoma"/>
          <w:sz w:val="24"/>
          <w:szCs w:val="24"/>
        </w:rPr>
        <w:t>transmediáticas</w:t>
      </w:r>
      <w:proofErr w:type="spellEnd"/>
      <w:r w:rsidRPr="00407328">
        <w:rPr>
          <w:rFonts w:ascii="Tahoma" w:hAnsi="Tahoma" w:cs="Tahoma"/>
          <w:sz w:val="24"/>
          <w:szCs w:val="24"/>
        </w:rPr>
        <w:t xml:space="preserve">. El caso de cuentosdeviejos.com. Perspectivas de La Comunicación, 10(2), 189–194.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Rubio Gil, Á. (2010). Generación digital: patrones de consumo de Internet, cultura juvenil y cambio social. Revista de Estudios de Juventud, 88, 201–221.</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rPr>
        <w:t>Santamaria</w:t>
      </w:r>
      <w:proofErr w:type="spellEnd"/>
      <w:r w:rsidRPr="00407328">
        <w:rPr>
          <w:rFonts w:ascii="Tahoma" w:hAnsi="Tahoma" w:cs="Tahoma"/>
          <w:sz w:val="24"/>
          <w:szCs w:val="24"/>
        </w:rPr>
        <w:t xml:space="preserve"> López, T. M., Lagos Reinoso, G., Armijos Acosta, R., &amp; Bravo Villagómez, F. (2019). </w:t>
      </w:r>
      <w:proofErr w:type="spellStart"/>
      <w:r w:rsidRPr="00407328">
        <w:rPr>
          <w:rFonts w:ascii="Tahoma" w:hAnsi="Tahoma" w:cs="Tahoma"/>
          <w:sz w:val="24"/>
          <w:szCs w:val="24"/>
        </w:rPr>
        <w:t>Streaming</w:t>
      </w:r>
      <w:proofErr w:type="spellEnd"/>
      <w:r w:rsidRPr="00407328">
        <w:rPr>
          <w:rFonts w:ascii="Tahoma" w:hAnsi="Tahoma" w:cs="Tahoma"/>
          <w:sz w:val="24"/>
          <w:szCs w:val="24"/>
        </w:rPr>
        <w:t xml:space="preserve"> en vivo enfocado en el aprendizaje personalizado de la asignatura Programación mediante la red social Facebook. Revista Inclusiones, 6, 169–177.</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proofErr w:type="spellStart"/>
      <w:r w:rsidRPr="00407328">
        <w:rPr>
          <w:rFonts w:ascii="Tahoma" w:hAnsi="Tahoma" w:cs="Tahoma"/>
          <w:sz w:val="24"/>
          <w:szCs w:val="24"/>
        </w:rPr>
        <w:t>Scolari</w:t>
      </w:r>
      <w:proofErr w:type="spellEnd"/>
      <w:r w:rsidRPr="00407328">
        <w:rPr>
          <w:rFonts w:ascii="Tahoma" w:hAnsi="Tahoma" w:cs="Tahoma"/>
          <w:sz w:val="24"/>
          <w:szCs w:val="24"/>
        </w:rPr>
        <w:t xml:space="preserve">, C. A. (2013). Narrativas </w:t>
      </w:r>
      <w:proofErr w:type="spellStart"/>
      <w:r w:rsidRPr="00407328">
        <w:rPr>
          <w:rFonts w:ascii="Tahoma" w:hAnsi="Tahoma" w:cs="Tahoma"/>
          <w:sz w:val="24"/>
          <w:szCs w:val="24"/>
        </w:rPr>
        <w:t>transmedia</w:t>
      </w:r>
      <w:proofErr w:type="spellEnd"/>
      <w:r w:rsidRPr="00407328">
        <w:rPr>
          <w:rFonts w:ascii="Tahoma" w:hAnsi="Tahoma" w:cs="Tahoma"/>
          <w:sz w:val="24"/>
          <w:szCs w:val="24"/>
        </w:rPr>
        <w:t>. Cuando todos los medios cuentan. Deusto.</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Segado-Boj, F., </w:t>
      </w:r>
      <w:proofErr w:type="spellStart"/>
      <w:r w:rsidRPr="00407328">
        <w:rPr>
          <w:rFonts w:ascii="Tahoma" w:hAnsi="Tahoma" w:cs="Tahoma"/>
          <w:sz w:val="24"/>
          <w:szCs w:val="24"/>
        </w:rPr>
        <w:t>Grandío</w:t>
      </w:r>
      <w:proofErr w:type="spellEnd"/>
      <w:r w:rsidRPr="00407328">
        <w:rPr>
          <w:rFonts w:ascii="Tahoma" w:hAnsi="Tahoma" w:cs="Tahoma"/>
          <w:sz w:val="24"/>
          <w:szCs w:val="24"/>
        </w:rPr>
        <w:t xml:space="preserve">, M. D. M., &amp; Fernández-Gómez, E. (2015). </w:t>
      </w:r>
      <w:r w:rsidRPr="00407328">
        <w:rPr>
          <w:rFonts w:ascii="Tahoma" w:hAnsi="Tahoma" w:cs="Tahoma"/>
          <w:sz w:val="24"/>
          <w:szCs w:val="24"/>
          <w:lang w:val="en-US"/>
        </w:rPr>
        <w:t xml:space="preserve">Social media and television: A bibliographic review based on the web of science. </w:t>
      </w:r>
      <w:r w:rsidRPr="00407328">
        <w:rPr>
          <w:rFonts w:ascii="Tahoma" w:hAnsi="Tahoma" w:cs="Tahoma"/>
          <w:sz w:val="24"/>
          <w:szCs w:val="24"/>
        </w:rPr>
        <w:t xml:space="preserve">Profesional de La </w:t>
      </w:r>
      <w:proofErr w:type="spellStart"/>
      <w:r w:rsidRPr="00407328">
        <w:rPr>
          <w:rFonts w:ascii="Tahoma" w:hAnsi="Tahoma" w:cs="Tahoma"/>
          <w:sz w:val="24"/>
          <w:szCs w:val="24"/>
        </w:rPr>
        <w:t>Informacion</w:t>
      </w:r>
      <w:proofErr w:type="spellEnd"/>
      <w:r w:rsidRPr="00407328">
        <w:rPr>
          <w:rFonts w:ascii="Tahoma" w:hAnsi="Tahoma" w:cs="Tahoma"/>
          <w:sz w:val="24"/>
          <w:szCs w:val="24"/>
        </w:rPr>
        <w:t xml:space="preserve">, 24(3), 227–234. </w:t>
      </w:r>
      <w:hyperlink r:id="rId48" w:history="1">
        <w:r w:rsidRPr="00407328">
          <w:rPr>
            <w:rStyle w:val="Hipervnculo"/>
            <w:rFonts w:ascii="Tahoma" w:hAnsi="Tahoma" w:cs="Tahoma"/>
            <w:sz w:val="24"/>
            <w:szCs w:val="24"/>
          </w:rPr>
          <w:t>https://doi.org/10.3145/epi.2015.may.03</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 xml:space="preserve">Torregrosa-Carmona, J.-F., &amp; Rodríguez-Gómez, E. (2017). Comunidades de fans y ficción televisiva. Estudio de caso: El ministerio del tiempo (TVE). El Profesional de La Información, 26(6), 1139. </w:t>
      </w:r>
      <w:hyperlink r:id="rId49" w:history="1">
        <w:r w:rsidRPr="00407328">
          <w:rPr>
            <w:rStyle w:val="Hipervnculo"/>
            <w:rFonts w:ascii="Tahoma" w:hAnsi="Tahoma" w:cs="Tahoma"/>
            <w:sz w:val="24"/>
            <w:szCs w:val="24"/>
          </w:rPr>
          <w:t>https://doi.org/10.3145/epi.2017.nov.13</w:t>
        </w:r>
      </w:hyperlink>
      <w:r w:rsidRPr="00407328">
        <w:rPr>
          <w:rFonts w:ascii="Tahoma" w:hAnsi="Tahoma" w:cs="Tahoma"/>
          <w:sz w:val="24"/>
          <w:szCs w:val="24"/>
        </w:rPr>
        <w:t xml:space="preserve"> </w:t>
      </w:r>
    </w:p>
    <w:p w:rsidR="00470D63" w:rsidRPr="00407328" w:rsidRDefault="00470D63" w:rsidP="00470D63">
      <w:pPr>
        <w:spacing w:after="0"/>
        <w:ind w:left="284" w:hanging="284"/>
        <w:jc w:val="both"/>
        <w:rPr>
          <w:rFonts w:ascii="Tahoma" w:hAnsi="Tahoma" w:cs="Tahoma"/>
          <w:sz w:val="24"/>
          <w:szCs w:val="24"/>
        </w:rPr>
      </w:pPr>
    </w:p>
    <w:p w:rsidR="00470D63" w:rsidRPr="00407328" w:rsidRDefault="00470D63" w:rsidP="00470D63">
      <w:pPr>
        <w:spacing w:after="0"/>
        <w:ind w:left="284" w:hanging="284"/>
        <w:jc w:val="both"/>
        <w:rPr>
          <w:rFonts w:ascii="Tahoma" w:hAnsi="Tahoma" w:cs="Tahoma"/>
          <w:sz w:val="24"/>
          <w:szCs w:val="24"/>
        </w:rPr>
      </w:pPr>
      <w:r w:rsidRPr="00407328">
        <w:rPr>
          <w:rFonts w:ascii="Tahoma" w:hAnsi="Tahoma" w:cs="Tahoma"/>
          <w:sz w:val="24"/>
          <w:szCs w:val="24"/>
        </w:rPr>
        <w:t>Ugalde Lujambio, L., Martínez, J., &amp; Medrano Samaniego, M. (2017). Pautas de consumo televisivo en adolescentes de la era digital: un estudio transcultural. Comunicar: Revista Científica Iberoamericana de Comunicación y Educación, 50, 67–76.</w:t>
      </w:r>
    </w:p>
    <w:p w:rsidR="00D52EA2" w:rsidRDefault="00D52EA2" w:rsidP="00740778">
      <w:pPr>
        <w:autoSpaceDE w:val="0"/>
        <w:autoSpaceDN w:val="0"/>
        <w:adjustRightInd w:val="0"/>
        <w:spacing w:after="0"/>
        <w:ind w:left="284" w:hanging="284"/>
        <w:jc w:val="both"/>
        <w:rPr>
          <w:rFonts w:ascii="Tahoma" w:hAnsi="Tahoma" w:cs="Tahoma"/>
          <w:noProof/>
          <w:sz w:val="24"/>
          <w:szCs w:val="24"/>
        </w:rPr>
      </w:pPr>
    </w:p>
    <w:p w:rsidR="007965BF" w:rsidRPr="00F21E9C" w:rsidRDefault="007965BF" w:rsidP="00740778">
      <w:pPr>
        <w:autoSpaceDE w:val="0"/>
        <w:autoSpaceDN w:val="0"/>
        <w:adjustRightInd w:val="0"/>
        <w:spacing w:after="0"/>
        <w:ind w:left="284" w:hanging="284"/>
        <w:jc w:val="both"/>
        <w:rPr>
          <w:rFonts w:ascii="Tahoma" w:hAnsi="Tahoma" w:cs="Tahoma"/>
          <w:b/>
          <w:bCs/>
          <w:color w:val="FF0000"/>
          <w:spacing w:val="-2"/>
          <w:sz w:val="24"/>
          <w:szCs w:val="24"/>
        </w:rPr>
      </w:pPr>
    </w:p>
    <w:p w:rsidR="00D52EA2" w:rsidRPr="00F21E9C" w:rsidRDefault="00D52EA2" w:rsidP="00740778">
      <w:pPr>
        <w:autoSpaceDE w:val="0"/>
        <w:autoSpaceDN w:val="0"/>
        <w:adjustRightInd w:val="0"/>
        <w:spacing w:after="0"/>
        <w:ind w:left="284" w:hanging="284"/>
        <w:jc w:val="both"/>
        <w:rPr>
          <w:rFonts w:ascii="Tahoma" w:hAnsi="Tahoma" w:cs="Tahoma"/>
          <w:b/>
          <w:bCs/>
          <w:spacing w:val="-2"/>
          <w:sz w:val="24"/>
          <w:szCs w:val="24"/>
        </w:rPr>
      </w:pPr>
      <w:r w:rsidRPr="00F21E9C">
        <w:rPr>
          <w:rFonts w:ascii="Tahoma" w:hAnsi="Tahoma" w:cs="Tahoma"/>
          <w:b/>
          <w:bCs/>
          <w:spacing w:val="-2"/>
          <w:sz w:val="24"/>
          <w:szCs w:val="24"/>
        </w:rPr>
        <w:t>AUTORES:</w:t>
      </w:r>
    </w:p>
    <w:p w:rsidR="00D52EA2" w:rsidRPr="00F21E9C" w:rsidRDefault="00D52EA2" w:rsidP="00740778">
      <w:pPr>
        <w:autoSpaceDE w:val="0"/>
        <w:autoSpaceDN w:val="0"/>
        <w:adjustRightInd w:val="0"/>
        <w:spacing w:after="0"/>
        <w:rPr>
          <w:rFonts w:ascii="Tahoma" w:hAnsi="Tahoma" w:cs="Tahoma"/>
          <w:b/>
          <w:bCs/>
          <w:sz w:val="24"/>
          <w:szCs w:val="24"/>
        </w:rPr>
      </w:pPr>
    </w:p>
    <w:p w:rsidR="00D52EA2" w:rsidRPr="007965BF" w:rsidRDefault="00D52EA2" w:rsidP="00740778">
      <w:pPr>
        <w:autoSpaceDE w:val="0"/>
        <w:autoSpaceDN w:val="0"/>
        <w:adjustRightInd w:val="0"/>
        <w:spacing w:after="0"/>
        <w:jc w:val="both"/>
        <w:rPr>
          <w:rFonts w:ascii="Tahoma" w:hAnsi="Tahoma" w:cs="Tahoma"/>
          <w:bCs/>
          <w:color w:val="00B050"/>
          <w:sz w:val="24"/>
          <w:szCs w:val="24"/>
          <w:shd w:val="clear" w:color="auto" w:fill="FFFFFF"/>
        </w:rPr>
      </w:pPr>
      <w:r w:rsidRPr="007965BF">
        <w:rPr>
          <w:rFonts w:ascii="Tahoma" w:hAnsi="Tahoma" w:cs="Tahoma"/>
          <w:b/>
          <w:bCs/>
          <w:sz w:val="24"/>
          <w:szCs w:val="24"/>
        </w:rPr>
        <w:t>Alba-María Martínez-Sala</w:t>
      </w:r>
    </w:p>
    <w:p w:rsidR="00D52EA2" w:rsidRPr="007965BF" w:rsidRDefault="00D52EA2" w:rsidP="00740778">
      <w:pPr>
        <w:spacing w:after="0"/>
        <w:jc w:val="both"/>
        <w:rPr>
          <w:rFonts w:ascii="Tahoma" w:hAnsi="Tahoma" w:cs="Tahoma"/>
          <w:bCs/>
          <w:color w:val="00B050"/>
          <w:sz w:val="24"/>
          <w:szCs w:val="24"/>
          <w:shd w:val="clear" w:color="auto" w:fill="FFFFFF"/>
        </w:rPr>
      </w:pPr>
      <w:r w:rsidRPr="007965BF">
        <w:rPr>
          <w:rFonts w:ascii="Tahoma" w:hAnsi="Tahoma" w:cs="Tahoma"/>
          <w:sz w:val="24"/>
          <w:szCs w:val="24"/>
        </w:rPr>
        <w:t xml:space="preserve">Dra. </w:t>
      </w:r>
      <w:proofErr w:type="gramStart"/>
      <w:r w:rsidRPr="007965BF">
        <w:rPr>
          <w:rFonts w:ascii="Tahoma" w:hAnsi="Tahoma" w:cs="Tahoma"/>
          <w:sz w:val="24"/>
          <w:szCs w:val="24"/>
        </w:rPr>
        <w:t>en</w:t>
      </w:r>
      <w:proofErr w:type="gramEnd"/>
      <w:r w:rsidRPr="007965BF">
        <w:rPr>
          <w:rFonts w:ascii="Tahoma" w:hAnsi="Tahoma" w:cs="Tahoma"/>
          <w:sz w:val="24"/>
          <w:szCs w:val="24"/>
        </w:rPr>
        <w:t xml:space="preserve"> Bellas Artes (Arte y diseño gráfico) y Premio Extraordinario de Doctorado de la Universidad Miguel Hernández (2015-2016). Licenciada en Ciencias de la Información, Publicidad y Relaciones Públicas (Universidad Complutense de Madrid). Es profesora Ayudante Doctora (acreditada a Contratada Doctora por la ANECA y AVAP)</w:t>
      </w:r>
      <w:r w:rsidRPr="007965BF">
        <w:rPr>
          <w:rFonts w:ascii="Tahoma" w:hAnsi="Tahoma" w:cs="Tahoma"/>
          <w:sz w:val="24"/>
          <w:szCs w:val="24"/>
          <w:shd w:val="clear" w:color="auto" w:fill="FFFFFF"/>
        </w:rPr>
        <w:t xml:space="preserve"> en la Universidad de Alicante (UA), en el departamento de Comunicación y Psicología Social (Grado oficial y Másteres oficiales). Sus principales </w:t>
      </w:r>
      <w:r w:rsidRPr="007965BF">
        <w:rPr>
          <w:rFonts w:ascii="Tahoma" w:hAnsi="Tahoma" w:cs="Tahoma"/>
          <w:color w:val="000000"/>
          <w:sz w:val="24"/>
          <w:szCs w:val="24"/>
          <w:shd w:val="clear" w:color="auto" w:fill="FFFFFF"/>
        </w:rPr>
        <w:t xml:space="preserve">líneas de investigación se centran en el área de las estrategias de comunicación y </w:t>
      </w:r>
      <w:r w:rsidRPr="007965BF">
        <w:rPr>
          <w:rFonts w:ascii="Tahoma" w:hAnsi="Tahoma" w:cs="Tahoma"/>
          <w:i/>
          <w:iCs/>
          <w:color w:val="000000"/>
          <w:sz w:val="24"/>
          <w:szCs w:val="24"/>
          <w:shd w:val="clear" w:color="auto" w:fill="FFFFFF"/>
        </w:rPr>
        <w:t xml:space="preserve">marketing </w:t>
      </w:r>
      <w:r w:rsidRPr="007965BF">
        <w:rPr>
          <w:rFonts w:ascii="Tahoma" w:hAnsi="Tahoma" w:cs="Tahoma"/>
          <w:color w:val="000000"/>
          <w:sz w:val="24"/>
          <w:szCs w:val="24"/>
          <w:shd w:val="clear" w:color="auto" w:fill="FFFFFF"/>
        </w:rPr>
        <w:t xml:space="preserve">digital tanto en el ámbito público como en el privado. Pertenece a los grupos de investigación </w:t>
      </w:r>
      <w:hyperlink r:id="rId50" w:history="1">
        <w:r w:rsidRPr="007965BF">
          <w:rPr>
            <w:rStyle w:val="Hipervnculo"/>
            <w:rFonts w:ascii="Tahoma" w:hAnsi="Tahoma" w:cs="Tahoma"/>
            <w:sz w:val="24"/>
            <w:szCs w:val="24"/>
            <w:shd w:val="clear" w:color="auto" w:fill="FFFFFF"/>
          </w:rPr>
          <w:t>MAE-CO</w:t>
        </w:r>
      </w:hyperlink>
      <w:r w:rsidRPr="007965BF">
        <w:rPr>
          <w:rFonts w:ascii="Tahoma" w:hAnsi="Tahoma" w:cs="Tahoma"/>
          <w:color w:val="000000"/>
          <w:sz w:val="24"/>
          <w:szCs w:val="24"/>
          <w:shd w:val="clear" w:color="auto" w:fill="FFFFFF"/>
        </w:rPr>
        <w:t xml:space="preserve"> y </w:t>
      </w:r>
      <w:hyperlink r:id="rId51" w:history="1">
        <w:proofErr w:type="spellStart"/>
        <w:r w:rsidRPr="007965BF">
          <w:rPr>
            <w:rStyle w:val="Hipervnculo"/>
            <w:rFonts w:ascii="Tahoma" w:hAnsi="Tahoma" w:cs="Tahoma"/>
            <w:sz w:val="24"/>
            <w:szCs w:val="24"/>
            <w:shd w:val="clear" w:color="auto" w:fill="FFFFFF"/>
          </w:rPr>
          <w:t>AgeCOM</w:t>
        </w:r>
        <w:proofErr w:type="spellEnd"/>
      </w:hyperlink>
      <w:r w:rsidRPr="007965BF">
        <w:rPr>
          <w:rFonts w:ascii="Tahoma" w:hAnsi="Tahoma" w:cs="Tahoma"/>
          <w:color w:val="000000"/>
          <w:sz w:val="24"/>
          <w:szCs w:val="24"/>
          <w:shd w:val="clear" w:color="auto" w:fill="FFFFFF"/>
        </w:rPr>
        <w:t xml:space="preserve"> (UA) y </w:t>
      </w:r>
      <w:hyperlink r:id="rId52" w:history="1">
        <w:r w:rsidRPr="007965BF">
          <w:rPr>
            <w:rStyle w:val="Hipervnculo"/>
            <w:rFonts w:ascii="Tahoma" w:hAnsi="Tahoma" w:cs="Tahoma"/>
            <w:sz w:val="24"/>
            <w:szCs w:val="24"/>
            <w:shd w:val="clear" w:color="auto" w:fill="FFFFFF"/>
          </w:rPr>
          <w:t>GCE</w:t>
        </w:r>
      </w:hyperlink>
      <w:r w:rsidRPr="007965BF">
        <w:rPr>
          <w:rFonts w:ascii="Tahoma" w:hAnsi="Tahoma" w:cs="Tahoma"/>
          <w:color w:val="000000"/>
          <w:sz w:val="24"/>
          <w:szCs w:val="24"/>
          <w:shd w:val="clear" w:color="auto" w:fill="FFFFFF"/>
        </w:rPr>
        <w:t xml:space="preserve"> (Universidad Técnica Particular de Loja, Ecuador). Ha sido distinguida como profesora honorífica por la Universidad Católica de Miami (EE. UU.) </w:t>
      </w:r>
    </w:p>
    <w:p w:rsidR="00D52EA2" w:rsidRPr="007965BF" w:rsidRDefault="00467539" w:rsidP="00740778">
      <w:pPr>
        <w:autoSpaceDE w:val="0"/>
        <w:autoSpaceDN w:val="0"/>
        <w:adjustRightInd w:val="0"/>
        <w:spacing w:after="0"/>
        <w:jc w:val="both"/>
        <w:rPr>
          <w:rFonts w:ascii="Tahoma" w:hAnsi="Tahoma" w:cs="Tahoma"/>
          <w:bCs/>
          <w:color w:val="FF0000"/>
          <w:sz w:val="24"/>
          <w:szCs w:val="24"/>
          <w:shd w:val="clear" w:color="auto" w:fill="FFFFFF"/>
          <w:lang w:val="en-GB"/>
        </w:rPr>
      </w:pPr>
      <w:hyperlink r:id="rId53" w:history="1">
        <w:r w:rsidR="00D52EA2" w:rsidRPr="007965BF">
          <w:rPr>
            <w:rStyle w:val="Hipervnculo"/>
            <w:rFonts w:ascii="Tahoma" w:hAnsi="Tahoma" w:cs="Tahoma"/>
            <w:bCs/>
            <w:sz w:val="24"/>
            <w:szCs w:val="24"/>
            <w:shd w:val="clear" w:color="auto" w:fill="FFFFFF"/>
            <w:lang w:val="en-GB"/>
          </w:rPr>
          <w:t>albamaria.martinez@ua.es</w:t>
        </w:r>
      </w:hyperlink>
      <w:r w:rsidR="00D52EA2" w:rsidRPr="007965BF">
        <w:rPr>
          <w:rFonts w:ascii="Tahoma" w:hAnsi="Tahoma" w:cs="Tahoma"/>
          <w:bCs/>
          <w:color w:val="00B050"/>
          <w:sz w:val="24"/>
          <w:szCs w:val="24"/>
          <w:shd w:val="clear" w:color="auto" w:fill="FFFFFF"/>
          <w:lang w:val="en-GB"/>
        </w:rPr>
        <w:t xml:space="preserve">  </w:t>
      </w:r>
    </w:p>
    <w:p w:rsidR="00D52EA2" w:rsidRPr="007965BF" w:rsidRDefault="00D52EA2" w:rsidP="00740778">
      <w:pPr>
        <w:spacing w:after="0"/>
        <w:jc w:val="both"/>
        <w:rPr>
          <w:rFonts w:ascii="Tahoma" w:eastAsia="Times New Roman" w:hAnsi="Tahoma" w:cs="Tahoma"/>
          <w:sz w:val="24"/>
          <w:szCs w:val="24"/>
          <w:lang w:val="en-GB"/>
        </w:rPr>
      </w:pPr>
      <w:proofErr w:type="spellStart"/>
      <w:r w:rsidRPr="007965BF">
        <w:rPr>
          <w:rFonts w:ascii="Tahoma" w:hAnsi="Tahoma" w:cs="Tahoma"/>
          <w:b/>
          <w:bCs/>
          <w:sz w:val="24"/>
          <w:szCs w:val="24"/>
          <w:lang w:val="en-GB"/>
        </w:rPr>
        <w:t>Orcid</w:t>
      </w:r>
      <w:proofErr w:type="spellEnd"/>
      <w:r w:rsidRPr="007965BF">
        <w:rPr>
          <w:rFonts w:ascii="Tahoma" w:hAnsi="Tahoma" w:cs="Tahoma"/>
          <w:b/>
          <w:bCs/>
          <w:sz w:val="24"/>
          <w:szCs w:val="24"/>
          <w:lang w:val="en-GB"/>
        </w:rPr>
        <w:t xml:space="preserve"> ID:</w:t>
      </w:r>
      <w:r w:rsidRPr="007965BF">
        <w:rPr>
          <w:rFonts w:ascii="Tahoma" w:hAnsi="Tahoma" w:cs="Tahoma"/>
          <w:bCs/>
          <w:sz w:val="24"/>
          <w:szCs w:val="24"/>
          <w:lang w:val="en-GB"/>
        </w:rPr>
        <w:t xml:space="preserve"> </w:t>
      </w:r>
      <w:hyperlink r:id="rId54" w:history="1">
        <w:r w:rsidRPr="007965BF">
          <w:rPr>
            <w:rStyle w:val="Hipervnculo"/>
            <w:rFonts w:ascii="Tahoma" w:hAnsi="Tahoma" w:cs="Tahoma"/>
            <w:sz w:val="24"/>
            <w:szCs w:val="24"/>
            <w:lang w:val="en-GB"/>
          </w:rPr>
          <w:t>https://orcid.org/0000-0002-6852-6258</w:t>
        </w:r>
      </w:hyperlink>
    </w:p>
    <w:p w:rsidR="00D52EA2" w:rsidRPr="007965BF" w:rsidRDefault="00D52EA2" w:rsidP="00740778">
      <w:pPr>
        <w:spacing w:after="0"/>
        <w:jc w:val="both"/>
        <w:rPr>
          <w:rFonts w:ascii="Tahoma" w:hAnsi="Tahoma" w:cs="Tahoma"/>
          <w:sz w:val="24"/>
          <w:szCs w:val="24"/>
          <w:lang w:val="en-GB"/>
        </w:rPr>
      </w:pPr>
      <w:r w:rsidRPr="007965BF">
        <w:rPr>
          <w:rFonts w:ascii="Tahoma" w:hAnsi="Tahoma" w:cs="Tahoma"/>
          <w:b/>
          <w:color w:val="000000"/>
          <w:spacing w:val="-1"/>
          <w:sz w:val="24"/>
          <w:szCs w:val="24"/>
          <w:lang w:val="en-GB"/>
        </w:rPr>
        <w:t>Google Scholar:</w:t>
      </w:r>
      <w:r w:rsidRPr="007965BF">
        <w:rPr>
          <w:rFonts w:ascii="Tahoma" w:hAnsi="Tahoma" w:cs="Tahoma"/>
          <w:color w:val="000000"/>
          <w:spacing w:val="-1"/>
          <w:sz w:val="24"/>
          <w:szCs w:val="24"/>
          <w:lang w:val="en-GB"/>
        </w:rPr>
        <w:t xml:space="preserve"> </w:t>
      </w:r>
      <w:hyperlink r:id="rId55" w:history="1">
        <w:r w:rsidRPr="007965BF">
          <w:rPr>
            <w:rStyle w:val="Hipervnculo"/>
            <w:rFonts w:ascii="Tahoma" w:hAnsi="Tahoma" w:cs="Tahoma"/>
            <w:sz w:val="24"/>
            <w:szCs w:val="24"/>
            <w:lang w:val="en-GB"/>
          </w:rPr>
          <w:t>https://scholar.google.es/citations?hl=es&amp;user=O9-_0goAAAAJ</w:t>
        </w:r>
      </w:hyperlink>
    </w:p>
    <w:p w:rsidR="00D52EA2" w:rsidRPr="007965BF" w:rsidRDefault="00D52EA2" w:rsidP="00740778">
      <w:pPr>
        <w:spacing w:after="0"/>
        <w:jc w:val="both"/>
        <w:rPr>
          <w:rStyle w:val="Hipervnculo"/>
          <w:rFonts w:ascii="Tahoma" w:hAnsi="Tahoma" w:cs="Tahoma"/>
          <w:sz w:val="24"/>
          <w:szCs w:val="24"/>
          <w:lang w:val="en-GB"/>
        </w:rPr>
      </w:pPr>
      <w:proofErr w:type="spellStart"/>
      <w:r w:rsidRPr="007965BF">
        <w:rPr>
          <w:rFonts w:ascii="Tahoma" w:hAnsi="Tahoma" w:cs="Tahoma"/>
          <w:b/>
          <w:color w:val="000000"/>
          <w:spacing w:val="-1"/>
          <w:sz w:val="24"/>
          <w:szCs w:val="24"/>
          <w:lang w:val="en-GB"/>
        </w:rPr>
        <w:t>ResearchGate</w:t>
      </w:r>
      <w:proofErr w:type="spellEnd"/>
      <w:r w:rsidRPr="007965BF">
        <w:rPr>
          <w:rFonts w:ascii="Tahoma" w:hAnsi="Tahoma" w:cs="Tahoma"/>
          <w:b/>
          <w:color w:val="000000"/>
          <w:spacing w:val="-1"/>
          <w:sz w:val="24"/>
          <w:szCs w:val="24"/>
          <w:lang w:val="en-GB"/>
        </w:rPr>
        <w:t xml:space="preserve">: </w:t>
      </w:r>
      <w:hyperlink r:id="rId56" w:history="1">
        <w:r w:rsidRPr="007965BF">
          <w:rPr>
            <w:rStyle w:val="Hipervnculo"/>
            <w:rFonts w:ascii="Tahoma" w:hAnsi="Tahoma" w:cs="Tahoma"/>
            <w:sz w:val="24"/>
            <w:szCs w:val="24"/>
            <w:lang w:val="en-GB"/>
          </w:rPr>
          <w:t>https://www.researchgate.net/profile/Alba_Maria_Martinez-Sala</w:t>
        </w:r>
      </w:hyperlink>
    </w:p>
    <w:p w:rsidR="00D52EA2" w:rsidRPr="007965BF" w:rsidRDefault="00D52EA2" w:rsidP="00740778">
      <w:pPr>
        <w:spacing w:after="0"/>
        <w:jc w:val="both"/>
        <w:rPr>
          <w:rFonts w:ascii="Tahoma" w:hAnsi="Tahoma" w:cs="Tahoma"/>
          <w:sz w:val="24"/>
          <w:szCs w:val="24"/>
        </w:rPr>
      </w:pPr>
      <w:proofErr w:type="spellStart"/>
      <w:r w:rsidRPr="007965BF">
        <w:rPr>
          <w:rFonts w:ascii="Tahoma" w:hAnsi="Tahoma" w:cs="Tahoma"/>
          <w:b/>
          <w:color w:val="000000"/>
          <w:spacing w:val="-1"/>
          <w:sz w:val="24"/>
          <w:szCs w:val="24"/>
        </w:rPr>
        <w:t>Scopus</w:t>
      </w:r>
      <w:proofErr w:type="spellEnd"/>
      <w:r w:rsidRPr="007965BF">
        <w:rPr>
          <w:rFonts w:ascii="Tahoma" w:hAnsi="Tahoma" w:cs="Tahoma"/>
          <w:b/>
          <w:color w:val="000000"/>
          <w:spacing w:val="-1"/>
          <w:sz w:val="24"/>
          <w:szCs w:val="24"/>
        </w:rPr>
        <w:t xml:space="preserve">: </w:t>
      </w:r>
      <w:r w:rsidRPr="007965BF">
        <w:rPr>
          <w:rFonts w:ascii="Tahoma" w:hAnsi="Tahoma" w:cs="Tahoma"/>
          <w:sz w:val="24"/>
          <w:szCs w:val="24"/>
          <w:shd w:val="clear" w:color="auto" w:fill="FFFFFF"/>
        </w:rPr>
        <w:t>57194398505</w:t>
      </w:r>
    </w:p>
    <w:p w:rsidR="00D52EA2" w:rsidRPr="007965BF" w:rsidRDefault="00D52EA2" w:rsidP="00740778">
      <w:pPr>
        <w:spacing w:after="0"/>
        <w:jc w:val="both"/>
        <w:rPr>
          <w:rFonts w:ascii="Tahoma" w:hAnsi="Tahoma" w:cs="Tahoma"/>
          <w:color w:val="CC00CC"/>
          <w:sz w:val="24"/>
          <w:szCs w:val="24"/>
        </w:rPr>
      </w:pPr>
      <w:r w:rsidRPr="007965BF">
        <w:rPr>
          <w:rFonts w:ascii="Tahoma" w:hAnsi="Tahoma" w:cs="Tahoma"/>
          <w:b/>
          <w:color w:val="000000"/>
          <w:spacing w:val="-1"/>
          <w:sz w:val="24"/>
          <w:szCs w:val="24"/>
        </w:rPr>
        <w:t xml:space="preserve">Academia.edu: </w:t>
      </w:r>
      <w:hyperlink r:id="rId57" w:history="1">
        <w:r w:rsidRPr="007965BF">
          <w:rPr>
            <w:rStyle w:val="Hipervnculo"/>
            <w:rFonts w:ascii="Tahoma" w:hAnsi="Tahoma" w:cs="Tahoma"/>
            <w:sz w:val="24"/>
            <w:szCs w:val="24"/>
          </w:rPr>
          <w:t>https://independent.academia.edu/AlbaMar%C3%ADaMart%C3%ADnezSala</w:t>
        </w:r>
      </w:hyperlink>
    </w:p>
    <w:p w:rsidR="00D52EA2" w:rsidRPr="007965BF" w:rsidRDefault="00D52EA2" w:rsidP="00740778">
      <w:pPr>
        <w:autoSpaceDE w:val="0"/>
        <w:autoSpaceDN w:val="0"/>
        <w:adjustRightInd w:val="0"/>
        <w:spacing w:after="0"/>
        <w:jc w:val="both"/>
        <w:rPr>
          <w:rFonts w:ascii="Tahoma" w:hAnsi="Tahoma" w:cs="Tahoma"/>
          <w:b/>
          <w:bCs/>
          <w:color w:val="FF0000"/>
          <w:sz w:val="24"/>
          <w:szCs w:val="24"/>
        </w:rPr>
      </w:pPr>
    </w:p>
    <w:p w:rsidR="00D52EA2" w:rsidRPr="007965BF" w:rsidRDefault="00D52EA2" w:rsidP="00740778">
      <w:pPr>
        <w:autoSpaceDE w:val="0"/>
        <w:autoSpaceDN w:val="0"/>
        <w:adjustRightInd w:val="0"/>
        <w:spacing w:after="0"/>
        <w:jc w:val="both"/>
        <w:rPr>
          <w:rFonts w:ascii="Tahoma" w:hAnsi="Tahoma" w:cs="Tahoma"/>
          <w:bCs/>
          <w:color w:val="00B050"/>
          <w:sz w:val="24"/>
          <w:szCs w:val="24"/>
          <w:shd w:val="clear" w:color="auto" w:fill="FFFFFF"/>
        </w:rPr>
      </w:pPr>
      <w:r w:rsidRPr="007965BF">
        <w:rPr>
          <w:rFonts w:ascii="Tahoma" w:hAnsi="Tahoma" w:cs="Tahoma"/>
          <w:b/>
          <w:bCs/>
          <w:sz w:val="24"/>
          <w:szCs w:val="24"/>
        </w:rPr>
        <w:t xml:space="preserve">Almudena Barrientos-Báez </w:t>
      </w:r>
    </w:p>
    <w:p w:rsidR="00D52EA2" w:rsidRPr="007965BF" w:rsidRDefault="00D52EA2" w:rsidP="00740778">
      <w:pPr>
        <w:autoSpaceDE w:val="0"/>
        <w:autoSpaceDN w:val="0"/>
        <w:adjustRightInd w:val="0"/>
        <w:spacing w:after="0"/>
        <w:jc w:val="both"/>
        <w:rPr>
          <w:rFonts w:ascii="Tahoma" w:hAnsi="Tahoma" w:cs="Tahoma"/>
          <w:color w:val="000000"/>
          <w:spacing w:val="-1"/>
          <w:sz w:val="24"/>
          <w:szCs w:val="24"/>
        </w:rPr>
      </w:pPr>
      <w:r w:rsidRPr="007965BF">
        <w:rPr>
          <w:rFonts w:ascii="Tahoma" w:hAnsi="Tahoma" w:cs="Tahoma"/>
          <w:color w:val="000000"/>
          <w:spacing w:val="-1"/>
          <w:sz w:val="24"/>
          <w:szCs w:val="24"/>
        </w:rPr>
        <w:t xml:space="preserve">Dra. </w:t>
      </w:r>
      <w:proofErr w:type="gramStart"/>
      <w:r w:rsidRPr="007965BF">
        <w:rPr>
          <w:rFonts w:ascii="Tahoma" w:hAnsi="Tahoma" w:cs="Tahoma"/>
          <w:color w:val="000000"/>
          <w:spacing w:val="-1"/>
          <w:sz w:val="24"/>
          <w:szCs w:val="24"/>
        </w:rPr>
        <w:t>con</w:t>
      </w:r>
      <w:proofErr w:type="gramEnd"/>
      <w:r w:rsidRPr="007965BF">
        <w:rPr>
          <w:rFonts w:ascii="Tahoma" w:hAnsi="Tahoma" w:cs="Tahoma"/>
          <w:color w:val="000000"/>
          <w:spacing w:val="-1"/>
          <w:sz w:val="24"/>
          <w:szCs w:val="24"/>
        </w:rPr>
        <w:t xml:space="preserve"> mención internacional en Educación (profesora acreditada contratada doctor). Profesora en la Escuela Universitaria de Turismo Iriarte, adscrita a la ULL y en la Univ. Europea. Máster en Dirección de Protocolo, Producción, Organización y Diseño de Eventos - área de Comunicación - (UCJC) y Máster en Dirección de Alojamientos Turísticos (Univ. Girona). Grado en Turismo (EUTI-ULL) y Magisterio (Univ. Valencia).</w:t>
      </w:r>
    </w:p>
    <w:p w:rsidR="00D52EA2" w:rsidRPr="007965BF" w:rsidRDefault="00D52EA2" w:rsidP="00740778">
      <w:pPr>
        <w:autoSpaceDE w:val="0"/>
        <w:autoSpaceDN w:val="0"/>
        <w:adjustRightInd w:val="0"/>
        <w:spacing w:after="0"/>
        <w:jc w:val="both"/>
        <w:rPr>
          <w:rFonts w:ascii="Tahoma" w:hAnsi="Tahoma" w:cs="Tahoma"/>
          <w:bCs/>
          <w:color w:val="00B050"/>
          <w:sz w:val="24"/>
          <w:szCs w:val="24"/>
          <w:shd w:val="clear" w:color="auto" w:fill="FFFFFF"/>
        </w:rPr>
      </w:pPr>
      <w:r w:rsidRPr="007965BF">
        <w:rPr>
          <w:rFonts w:ascii="Tahoma" w:hAnsi="Tahoma" w:cs="Tahoma"/>
          <w:color w:val="000000"/>
          <w:spacing w:val="-1"/>
          <w:sz w:val="24"/>
          <w:szCs w:val="24"/>
        </w:rPr>
        <w:t xml:space="preserve">Forma parte del proyecto </w:t>
      </w:r>
      <w:proofErr w:type="spellStart"/>
      <w:r w:rsidRPr="007965BF">
        <w:rPr>
          <w:rFonts w:ascii="Tahoma" w:hAnsi="Tahoma" w:cs="Tahoma"/>
          <w:color w:val="000000"/>
          <w:spacing w:val="-1"/>
          <w:sz w:val="24"/>
          <w:szCs w:val="24"/>
        </w:rPr>
        <w:t>DEBATv</w:t>
      </w:r>
      <w:proofErr w:type="spellEnd"/>
      <w:r w:rsidRPr="007965BF">
        <w:rPr>
          <w:rFonts w:ascii="Tahoma" w:hAnsi="Tahoma" w:cs="Tahoma"/>
          <w:color w:val="000000"/>
          <w:spacing w:val="-1"/>
          <w:sz w:val="24"/>
          <w:szCs w:val="24"/>
        </w:rPr>
        <w:t xml:space="preserve">, Debates Electorales Televisados en España: Modelos, Proceso, Diagnóstico y Propuesta (CSO2017-83159-R), proyecto de I+D+I, y del proyecto Nuevos valores, gobernanza, financiación y servicios audiovisuales públicos para la sociedad de Internet: contrastes europeos y españoles (RTI2018-096065-B-I00) de investigación del Programa Estatal de I+D+I orientado a los Retos de la Sociedad del Ministerio de Ciencia, Innovación y Universidades (MCIU), Agencia Estatal de Investigación (AEI) y del Fondo Europeo de Desarrollo Regional (FEDER). </w:t>
      </w:r>
    </w:p>
    <w:p w:rsidR="00D52EA2" w:rsidRPr="007965BF" w:rsidRDefault="00467539" w:rsidP="00740778">
      <w:pPr>
        <w:autoSpaceDE w:val="0"/>
        <w:autoSpaceDN w:val="0"/>
        <w:adjustRightInd w:val="0"/>
        <w:spacing w:after="0"/>
        <w:jc w:val="both"/>
        <w:rPr>
          <w:rFonts w:ascii="Tahoma" w:hAnsi="Tahoma" w:cs="Tahoma"/>
          <w:bCs/>
          <w:color w:val="00B050"/>
          <w:sz w:val="24"/>
          <w:szCs w:val="24"/>
          <w:shd w:val="clear" w:color="auto" w:fill="FFFFFF"/>
          <w:lang w:val="en-GB"/>
        </w:rPr>
      </w:pPr>
      <w:hyperlink r:id="rId58" w:history="1">
        <w:r w:rsidR="00D52EA2" w:rsidRPr="007965BF">
          <w:rPr>
            <w:rStyle w:val="Hipervnculo"/>
            <w:rFonts w:ascii="Tahoma" w:hAnsi="Tahoma" w:cs="Tahoma"/>
            <w:bCs/>
            <w:sz w:val="24"/>
            <w:szCs w:val="24"/>
            <w:shd w:val="clear" w:color="auto" w:fill="FFFFFF"/>
            <w:lang w:val="en-GB"/>
          </w:rPr>
          <w:t>almudenabarrientos@iriarteuniversidad.es</w:t>
        </w:r>
      </w:hyperlink>
    </w:p>
    <w:p w:rsidR="00D52EA2" w:rsidRPr="007965BF" w:rsidRDefault="00D52EA2" w:rsidP="00740778">
      <w:pPr>
        <w:spacing w:after="0"/>
        <w:jc w:val="both"/>
        <w:rPr>
          <w:rFonts w:ascii="Tahoma" w:hAnsi="Tahoma" w:cs="Tahoma"/>
          <w:bCs/>
          <w:sz w:val="24"/>
          <w:szCs w:val="24"/>
          <w:lang w:val="en-GB"/>
        </w:rPr>
      </w:pPr>
      <w:proofErr w:type="spellStart"/>
      <w:r w:rsidRPr="007965BF">
        <w:rPr>
          <w:rFonts w:ascii="Tahoma" w:hAnsi="Tahoma" w:cs="Tahoma"/>
          <w:b/>
          <w:bCs/>
          <w:sz w:val="24"/>
          <w:szCs w:val="24"/>
          <w:lang w:val="en-GB"/>
        </w:rPr>
        <w:t>Orcid</w:t>
      </w:r>
      <w:proofErr w:type="spellEnd"/>
      <w:r w:rsidRPr="007965BF">
        <w:rPr>
          <w:rFonts w:ascii="Tahoma" w:hAnsi="Tahoma" w:cs="Tahoma"/>
          <w:b/>
          <w:bCs/>
          <w:sz w:val="24"/>
          <w:szCs w:val="24"/>
          <w:lang w:val="en-GB"/>
        </w:rPr>
        <w:t xml:space="preserve"> ID:</w:t>
      </w:r>
      <w:r w:rsidRPr="007965BF">
        <w:rPr>
          <w:rFonts w:ascii="Tahoma" w:hAnsi="Tahoma" w:cs="Tahoma"/>
          <w:bCs/>
          <w:sz w:val="24"/>
          <w:szCs w:val="24"/>
          <w:lang w:val="en-GB"/>
        </w:rPr>
        <w:t xml:space="preserve"> </w:t>
      </w:r>
      <w:hyperlink r:id="rId59" w:history="1">
        <w:r w:rsidRPr="007965BF">
          <w:rPr>
            <w:rStyle w:val="Hipervnculo"/>
            <w:rFonts w:ascii="Tahoma" w:hAnsi="Tahoma" w:cs="Tahoma"/>
            <w:bCs/>
            <w:sz w:val="24"/>
            <w:szCs w:val="24"/>
            <w:lang w:val="en-GB"/>
          </w:rPr>
          <w:t>https://orcid.org/0000-0001-9913-3353</w:t>
        </w:r>
      </w:hyperlink>
    </w:p>
    <w:p w:rsidR="00D52EA2" w:rsidRPr="007965BF" w:rsidRDefault="00D52EA2" w:rsidP="00740778">
      <w:pPr>
        <w:spacing w:after="0"/>
        <w:jc w:val="both"/>
        <w:rPr>
          <w:rFonts w:ascii="Tahoma" w:hAnsi="Tahoma" w:cs="Tahoma"/>
          <w:color w:val="000000"/>
          <w:spacing w:val="-1"/>
          <w:sz w:val="24"/>
          <w:szCs w:val="24"/>
          <w:lang w:val="en-GB"/>
        </w:rPr>
      </w:pPr>
      <w:r w:rsidRPr="007965BF">
        <w:rPr>
          <w:rFonts w:ascii="Tahoma" w:hAnsi="Tahoma" w:cs="Tahoma"/>
          <w:b/>
          <w:color w:val="000000"/>
          <w:spacing w:val="-1"/>
          <w:sz w:val="24"/>
          <w:szCs w:val="24"/>
          <w:lang w:val="en-GB"/>
        </w:rPr>
        <w:t>Google Scholar:</w:t>
      </w:r>
      <w:r w:rsidRPr="007965BF">
        <w:rPr>
          <w:rFonts w:ascii="Tahoma" w:hAnsi="Tahoma" w:cs="Tahoma"/>
          <w:color w:val="000000"/>
          <w:spacing w:val="-1"/>
          <w:sz w:val="24"/>
          <w:szCs w:val="24"/>
          <w:lang w:val="en-GB"/>
        </w:rPr>
        <w:t xml:space="preserve"> </w:t>
      </w:r>
      <w:hyperlink r:id="rId60" w:history="1">
        <w:r w:rsidRPr="007965BF">
          <w:rPr>
            <w:rStyle w:val="Hipervnculo"/>
            <w:rFonts w:ascii="Tahoma" w:hAnsi="Tahoma" w:cs="Tahoma"/>
            <w:spacing w:val="-1"/>
            <w:sz w:val="24"/>
            <w:szCs w:val="24"/>
            <w:lang w:val="en-GB"/>
          </w:rPr>
          <w:t>https://scholar.google.es/citations?user=jUHzsfIAAAAJ&amp;hl=es</w:t>
        </w:r>
      </w:hyperlink>
    </w:p>
    <w:p w:rsidR="00D52EA2" w:rsidRPr="007965BF" w:rsidRDefault="00D52EA2" w:rsidP="00740778">
      <w:pPr>
        <w:spacing w:after="0"/>
        <w:jc w:val="both"/>
        <w:rPr>
          <w:rFonts w:ascii="Tahoma" w:hAnsi="Tahoma" w:cs="Tahoma"/>
          <w:color w:val="000000"/>
          <w:spacing w:val="-1"/>
          <w:sz w:val="24"/>
          <w:szCs w:val="24"/>
          <w:lang w:val="en-GB"/>
        </w:rPr>
      </w:pPr>
    </w:p>
    <w:p w:rsidR="00D52EA2" w:rsidRPr="007965BF" w:rsidRDefault="00D52EA2" w:rsidP="00740778">
      <w:pPr>
        <w:spacing w:after="0"/>
        <w:jc w:val="both"/>
        <w:rPr>
          <w:rFonts w:ascii="Tahoma" w:hAnsi="Tahoma" w:cs="Tahoma"/>
          <w:b/>
          <w:color w:val="000000"/>
          <w:spacing w:val="-1"/>
          <w:sz w:val="24"/>
          <w:szCs w:val="24"/>
        </w:rPr>
      </w:pPr>
      <w:r w:rsidRPr="007965BF">
        <w:rPr>
          <w:rFonts w:ascii="Tahoma" w:hAnsi="Tahoma" w:cs="Tahoma"/>
          <w:b/>
          <w:color w:val="000000"/>
          <w:spacing w:val="-1"/>
          <w:sz w:val="24"/>
          <w:szCs w:val="24"/>
        </w:rPr>
        <w:t>David Caldevilla-Domínguez</w:t>
      </w:r>
    </w:p>
    <w:p w:rsidR="00D52EA2" w:rsidRPr="007965BF" w:rsidRDefault="00D52EA2" w:rsidP="00740778">
      <w:pPr>
        <w:spacing w:after="0"/>
        <w:jc w:val="both"/>
        <w:rPr>
          <w:rFonts w:ascii="Tahoma" w:hAnsi="Tahoma" w:cs="Tahoma"/>
          <w:color w:val="000000"/>
          <w:spacing w:val="-1"/>
          <w:sz w:val="24"/>
          <w:szCs w:val="24"/>
        </w:rPr>
      </w:pPr>
      <w:r w:rsidRPr="007965BF">
        <w:rPr>
          <w:rFonts w:ascii="Tahoma" w:hAnsi="Tahoma" w:cs="Tahoma"/>
          <w:color w:val="000000"/>
          <w:spacing w:val="-1"/>
          <w:sz w:val="24"/>
          <w:szCs w:val="24"/>
        </w:rPr>
        <w:t>Licenciado y Doctor en Ciencias de la Información (Comunicación Audiovisual por la U. Complutense). Diplomado en Magisterio (U. de Zaragoza). Profesor titular en la Facultad de Ciencias de la Información de la UCM. Docente en: U. Complutense, U. Europea de Madrid, IED, ESERP e IPAM (Oporto -Portugal-). Índice h 16. 6º autor español en trabajos publicados, 13º en artículos citados y 20º en citas recibidas de 747 autores totales.</w:t>
      </w:r>
    </w:p>
    <w:p w:rsidR="00D52EA2" w:rsidRPr="007965BF" w:rsidRDefault="00467539" w:rsidP="00740778">
      <w:pPr>
        <w:spacing w:after="0"/>
        <w:jc w:val="both"/>
        <w:rPr>
          <w:rFonts w:ascii="Tahoma" w:hAnsi="Tahoma" w:cs="Tahoma"/>
          <w:color w:val="000000"/>
          <w:spacing w:val="-1"/>
          <w:sz w:val="24"/>
          <w:szCs w:val="24"/>
          <w:lang w:val="en-US"/>
        </w:rPr>
      </w:pPr>
      <w:hyperlink r:id="rId61" w:history="1">
        <w:r w:rsidR="00D52EA2" w:rsidRPr="007965BF">
          <w:rPr>
            <w:rStyle w:val="Hipervnculo"/>
            <w:rFonts w:ascii="Tahoma" w:hAnsi="Tahoma" w:cs="Tahoma"/>
            <w:spacing w:val="-1"/>
            <w:sz w:val="24"/>
            <w:szCs w:val="24"/>
            <w:lang w:val="en-US"/>
          </w:rPr>
          <w:t>davidcaldevilla@ccinf.ucm.es</w:t>
        </w:r>
      </w:hyperlink>
    </w:p>
    <w:p w:rsidR="00D52EA2" w:rsidRPr="007965BF" w:rsidRDefault="00D52EA2" w:rsidP="00740778">
      <w:pPr>
        <w:spacing w:after="0"/>
        <w:jc w:val="both"/>
        <w:rPr>
          <w:rFonts w:ascii="Tahoma" w:hAnsi="Tahoma" w:cs="Tahoma"/>
          <w:color w:val="000000"/>
          <w:spacing w:val="-1"/>
          <w:sz w:val="24"/>
          <w:szCs w:val="24"/>
          <w:lang w:val="en-US"/>
        </w:rPr>
      </w:pPr>
      <w:proofErr w:type="spellStart"/>
      <w:r w:rsidRPr="007965BF">
        <w:rPr>
          <w:rFonts w:ascii="Tahoma" w:hAnsi="Tahoma" w:cs="Tahoma"/>
          <w:b/>
          <w:color w:val="000000"/>
          <w:spacing w:val="-1"/>
          <w:sz w:val="24"/>
          <w:szCs w:val="24"/>
          <w:lang w:val="en-US"/>
        </w:rPr>
        <w:t>Orcid</w:t>
      </w:r>
      <w:proofErr w:type="spellEnd"/>
      <w:r w:rsidRPr="007965BF">
        <w:rPr>
          <w:rFonts w:ascii="Tahoma" w:hAnsi="Tahoma" w:cs="Tahoma"/>
          <w:b/>
          <w:color w:val="000000"/>
          <w:spacing w:val="-1"/>
          <w:sz w:val="24"/>
          <w:szCs w:val="24"/>
          <w:lang w:val="en-US"/>
        </w:rPr>
        <w:t xml:space="preserve"> ID:</w:t>
      </w:r>
      <w:r w:rsidRPr="007965BF">
        <w:rPr>
          <w:rFonts w:ascii="Tahoma" w:hAnsi="Tahoma" w:cs="Tahoma"/>
          <w:color w:val="000000"/>
          <w:spacing w:val="-1"/>
          <w:sz w:val="24"/>
          <w:szCs w:val="24"/>
          <w:lang w:val="en-US"/>
        </w:rPr>
        <w:t xml:space="preserve"> </w:t>
      </w:r>
      <w:hyperlink r:id="rId62" w:history="1">
        <w:r w:rsidRPr="007965BF">
          <w:rPr>
            <w:rStyle w:val="Hipervnculo"/>
            <w:rFonts w:ascii="Tahoma" w:hAnsi="Tahoma" w:cs="Tahoma"/>
            <w:spacing w:val="-1"/>
            <w:sz w:val="24"/>
            <w:szCs w:val="24"/>
            <w:lang w:val="en-US"/>
          </w:rPr>
          <w:t>https://orcid.org/0000-0002-9850-1350</w:t>
        </w:r>
      </w:hyperlink>
    </w:p>
    <w:p w:rsidR="00D84B34" w:rsidRPr="007965BF" w:rsidRDefault="00D52EA2" w:rsidP="00740778">
      <w:pPr>
        <w:spacing w:after="0"/>
        <w:jc w:val="both"/>
        <w:rPr>
          <w:rFonts w:ascii="Tahoma" w:hAnsi="Tahoma" w:cs="Tahoma"/>
          <w:color w:val="000000"/>
          <w:spacing w:val="-1"/>
          <w:sz w:val="24"/>
          <w:szCs w:val="24"/>
          <w:lang w:val="en-US"/>
        </w:rPr>
      </w:pPr>
      <w:r w:rsidRPr="007965BF">
        <w:rPr>
          <w:rFonts w:ascii="Tahoma" w:hAnsi="Tahoma" w:cs="Tahoma"/>
          <w:b/>
          <w:color w:val="000000"/>
          <w:spacing w:val="-1"/>
          <w:sz w:val="24"/>
          <w:szCs w:val="24"/>
          <w:lang w:val="en-US"/>
        </w:rPr>
        <w:t>Google Scholar:</w:t>
      </w:r>
      <w:r w:rsidRPr="007965BF">
        <w:rPr>
          <w:sz w:val="24"/>
          <w:szCs w:val="24"/>
          <w:lang w:val="en-US"/>
        </w:rPr>
        <w:t xml:space="preserve"> </w:t>
      </w:r>
      <w:hyperlink r:id="rId63" w:history="1">
        <w:r w:rsidRPr="007965BF">
          <w:rPr>
            <w:rStyle w:val="Hipervnculo"/>
            <w:rFonts w:ascii="Tahoma" w:hAnsi="Tahoma" w:cs="Tahoma"/>
            <w:spacing w:val="-1"/>
            <w:sz w:val="24"/>
            <w:szCs w:val="24"/>
            <w:lang w:val="en-US"/>
          </w:rPr>
          <w:t>https://scholar.google.es/citations?user=wVd-AnwAAAAJ&amp;hl=es</w:t>
        </w:r>
      </w:hyperlink>
    </w:p>
    <w:sectPr w:rsidR="00D84B34" w:rsidRPr="007965BF" w:rsidSect="00002CA6">
      <w:headerReference w:type="default" r:id="rId64"/>
      <w:footerReference w:type="default" r:id="rId65"/>
      <w:headerReference w:type="first" r:id="rId66"/>
      <w:footerReference w:type="first" r:id="rId67"/>
      <w:pgSz w:w="11906" w:h="16838"/>
      <w:pgMar w:top="1701" w:right="1418" w:bottom="1418" w:left="1418" w:header="567" w:footer="567" w:gutter="0"/>
      <w:pgNumType w:start="57"/>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39" w:rsidRDefault="00467539">
      <w:pPr>
        <w:spacing w:after="0"/>
      </w:pPr>
      <w:r>
        <w:separator/>
      </w:r>
    </w:p>
  </w:endnote>
  <w:endnote w:type="continuationSeparator" w:id="0">
    <w:p w:rsidR="00467539" w:rsidRDefault="00467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NewCenturySchlbk-Roman">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125573"/>
      <w:docPartObj>
        <w:docPartGallery w:val="Page Numbers (Bottom of Page)"/>
        <w:docPartUnique/>
      </w:docPartObj>
    </w:sdtPr>
    <w:sdtEndPr>
      <w:rPr>
        <w:rFonts w:ascii="Tahoma" w:hAnsi="Tahoma" w:cs="Tahoma"/>
        <w:sz w:val="22"/>
        <w:szCs w:val="22"/>
      </w:rPr>
    </w:sdtEndPr>
    <w:sdtContent>
      <w:p w:rsidR="00467539" w:rsidRPr="006F1EE0" w:rsidRDefault="00467539" w:rsidP="00271C40">
        <w:pPr>
          <w:pStyle w:val="Piedepgina"/>
          <w:spacing w:after="0"/>
          <w:jc w:val="right"/>
          <w:rPr>
            <w:rFonts w:ascii="Tahoma" w:hAnsi="Tahoma" w:cs="Tahoma"/>
            <w:color w:val="auto"/>
            <w:sz w:val="22"/>
            <w:szCs w:val="22"/>
            <w:lang w:val="es-ES"/>
          </w:rPr>
        </w:pPr>
        <w:r w:rsidRPr="006F1EE0">
          <w:rPr>
            <w:rFonts w:ascii="Tahoma" w:hAnsi="Tahoma" w:cs="Tahoma"/>
            <w:color w:val="auto"/>
            <w:sz w:val="22"/>
            <w:szCs w:val="22"/>
          </w:rPr>
          <w:fldChar w:fldCharType="begin"/>
        </w:r>
        <w:r w:rsidRPr="006F1EE0">
          <w:rPr>
            <w:rFonts w:ascii="Tahoma" w:hAnsi="Tahoma" w:cs="Tahoma"/>
            <w:color w:val="auto"/>
            <w:sz w:val="22"/>
            <w:szCs w:val="22"/>
          </w:rPr>
          <w:instrText>PAGE   \* MERGEFORMAT</w:instrText>
        </w:r>
        <w:r w:rsidRPr="006F1EE0">
          <w:rPr>
            <w:rFonts w:ascii="Tahoma" w:hAnsi="Tahoma" w:cs="Tahoma"/>
            <w:color w:val="auto"/>
            <w:sz w:val="22"/>
            <w:szCs w:val="22"/>
          </w:rPr>
          <w:fldChar w:fldCharType="separate"/>
        </w:r>
        <w:r w:rsidR="00FD3E0A" w:rsidRPr="00FD3E0A">
          <w:rPr>
            <w:rFonts w:ascii="Tahoma" w:hAnsi="Tahoma" w:cs="Tahoma"/>
            <w:noProof/>
            <w:color w:val="auto"/>
            <w:sz w:val="22"/>
            <w:szCs w:val="22"/>
            <w:lang w:val="es-ES"/>
          </w:rPr>
          <w:t>70</w:t>
        </w:r>
        <w:r w:rsidRPr="006F1EE0">
          <w:rPr>
            <w:rFonts w:ascii="Tahoma" w:hAnsi="Tahoma" w:cs="Tahoma"/>
            <w:color w:val="auto"/>
            <w:sz w:val="22"/>
            <w:szCs w:val="22"/>
          </w:rPr>
          <w:fldChar w:fldCharType="end"/>
        </w:r>
      </w:p>
      <w:p w:rsidR="00467539" w:rsidRDefault="00467539" w:rsidP="00E7690A">
        <w:pPr>
          <w:pStyle w:val="Piedepgina"/>
          <w:spacing w:after="0"/>
          <w:jc w:val="left"/>
          <w:rPr>
            <w:rFonts w:ascii="Tahoma" w:hAnsi="Tahoma" w:cs="Tahoma"/>
          </w:rPr>
        </w:pPr>
        <w:r w:rsidRPr="006F3612">
          <w:rPr>
            <w:rFonts w:ascii="Tahoma" w:hAnsi="Tahoma" w:cs="Tahoma"/>
            <w:noProof/>
            <w:sz w:val="22"/>
            <w:szCs w:val="22"/>
          </w:rPr>
          <w:t xml:space="preserve">Revista de Comunicación de la SEECI. </w:t>
        </w:r>
        <w:r>
          <w:rPr>
            <w:rFonts w:ascii="Tahoma" w:hAnsi="Tahoma" w:cs="Tahoma"/>
            <w:noProof/>
          </w:rPr>
          <w:t>2021, nº 54</w:t>
        </w:r>
        <w:r>
          <w:rPr>
            <w:rFonts w:ascii="Tahoma" w:hAnsi="Tahoma" w:cs="Tahoma"/>
            <w:noProof/>
            <w:color w:val="auto"/>
          </w:rPr>
          <w:t xml:space="preserve">, </w:t>
        </w:r>
        <w:r>
          <w:rPr>
            <w:rFonts w:ascii="Tahoma" w:hAnsi="Tahoma" w:cs="Tahoma"/>
            <w:noProof/>
            <w:color w:val="auto"/>
            <w:lang w:val="es-ES"/>
          </w:rPr>
          <w:t>57</w:t>
        </w:r>
        <w:r>
          <w:rPr>
            <w:rFonts w:ascii="Tahoma" w:hAnsi="Tahoma" w:cs="Tahoma"/>
            <w:noProof/>
            <w:color w:val="auto"/>
          </w:rPr>
          <w:t>-</w:t>
        </w:r>
        <w:r w:rsidR="00FE5853">
          <w:rPr>
            <w:rFonts w:ascii="Tahoma" w:hAnsi="Tahoma" w:cs="Tahoma"/>
            <w:noProof/>
            <w:color w:val="auto"/>
            <w:lang w:val="es-ES"/>
          </w:rPr>
          <w:t>80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44220550"/>
      <w:docPartObj>
        <w:docPartGallery w:val="Page Numbers (Bottom of Page)"/>
        <w:docPartUnique/>
      </w:docPartObj>
    </w:sdtPr>
    <w:sdtEndPr>
      <w:rPr>
        <w:color w:val="auto"/>
      </w:rPr>
    </w:sdtEndPr>
    <w:sdtContent>
      <w:p w:rsidR="00467539" w:rsidRPr="0015133E" w:rsidRDefault="00467539" w:rsidP="00271C40">
        <w:pPr>
          <w:pStyle w:val="Piedepgina"/>
          <w:spacing w:after="0"/>
          <w:jc w:val="right"/>
          <w:rPr>
            <w:rFonts w:ascii="Tahoma" w:hAnsi="Tahoma" w:cs="Tahoma"/>
            <w:color w:val="FF0000"/>
            <w:sz w:val="22"/>
            <w:szCs w:val="22"/>
          </w:rPr>
        </w:pPr>
        <w:r w:rsidRPr="00271C40">
          <w:rPr>
            <w:rFonts w:ascii="Tahoma" w:hAnsi="Tahoma" w:cs="Tahoma"/>
            <w:noProof/>
            <w:sz w:val="22"/>
            <w:szCs w:val="22"/>
            <w:lang w:val="es-ES_tradnl" w:eastAsia="es-ES_tradnl"/>
          </w:rPr>
          <w:drawing>
            <wp:inline distT="0" distB="0" distL="0" distR="0" wp14:anchorId="79F89B70" wp14:editId="5170089B">
              <wp:extent cx="835660" cy="291465"/>
              <wp:effectExtent l="0" t="0" r="2540" b="0"/>
              <wp:docPr id="6" name="Imagen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660" cy="291465"/>
                      </a:xfrm>
                      <a:prstGeom prst="rect">
                        <a:avLst/>
                      </a:prstGeom>
                      <a:noFill/>
                      <a:ln>
                        <a:noFill/>
                      </a:ln>
                    </pic:spPr>
                  </pic:pic>
                </a:graphicData>
              </a:graphic>
            </wp:inline>
          </w:drawing>
        </w:r>
        <w:r w:rsidRPr="00271C40">
          <w:rPr>
            <w:rFonts w:ascii="Tahoma" w:hAnsi="Tahoma" w:cs="Tahoma"/>
            <w:sz w:val="22"/>
            <w:szCs w:val="22"/>
            <w:lang w:val="es-ES"/>
          </w:rPr>
          <w:t xml:space="preserve">                                                           </w:t>
        </w:r>
        <w:r>
          <w:rPr>
            <w:rFonts w:ascii="Tahoma" w:hAnsi="Tahoma" w:cs="Tahoma"/>
            <w:sz w:val="22"/>
            <w:szCs w:val="22"/>
            <w:lang w:val="es-ES"/>
          </w:rPr>
          <w:t xml:space="preserve">  </w:t>
        </w:r>
        <w:r w:rsidRPr="00271C40">
          <w:rPr>
            <w:rFonts w:ascii="Tahoma" w:hAnsi="Tahoma" w:cs="Tahoma"/>
            <w:sz w:val="22"/>
            <w:szCs w:val="22"/>
            <w:lang w:val="es-ES"/>
          </w:rPr>
          <w:t xml:space="preserve">                                                </w:t>
        </w:r>
        <w:r w:rsidRPr="00122B91">
          <w:rPr>
            <w:rFonts w:ascii="Tahoma" w:hAnsi="Tahoma" w:cs="Tahoma"/>
            <w:color w:val="auto"/>
            <w:sz w:val="22"/>
            <w:szCs w:val="22"/>
          </w:rPr>
          <w:fldChar w:fldCharType="begin"/>
        </w:r>
        <w:r w:rsidRPr="00122B91">
          <w:rPr>
            <w:rFonts w:ascii="Tahoma" w:hAnsi="Tahoma" w:cs="Tahoma"/>
            <w:color w:val="auto"/>
            <w:sz w:val="22"/>
            <w:szCs w:val="22"/>
          </w:rPr>
          <w:instrText>PAGE   \* MERGEFORMAT</w:instrText>
        </w:r>
        <w:r w:rsidRPr="00122B91">
          <w:rPr>
            <w:rFonts w:ascii="Tahoma" w:hAnsi="Tahoma" w:cs="Tahoma"/>
            <w:color w:val="auto"/>
            <w:sz w:val="22"/>
            <w:szCs w:val="22"/>
          </w:rPr>
          <w:fldChar w:fldCharType="separate"/>
        </w:r>
        <w:r w:rsidR="00FD3E0A" w:rsidRPr="00FD3E0A">
          <w:rPr>
            <w:rFonts w:ascii="Tahoma" w:hAnsi="Tahoma" w:cs="Tahoma"/>
            <w:noProof/>
            <w:color w:val="auto"/>
            <w:sz w:val="22"/>
            <w:szCs w:val="22"/>
            <w:lang w:val="es-ES"/>
          </w:rPr>
          <w:t>57</w:t>
        </w:r>
        <w:r w:rsidRPr="00122B91">
          <w:rPr>
            <w:rFonts w:ascii="Tahoma" w:hAnsi="Tahoma" w:cs="Tahoma"/>
            <w:color w:val="auto"/>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39" w:rsidRDefault="00467539">
      <w:r>
        <w:separator/>
      </w:r>
    </w:p>
  </w:footnote>
  <w:footnote w:type="continuationSeparator" w:id="0">
    <w:p w:rsidR="00467539" w:rsidRDefault="00467539">
      <w:r>
        <w:continuationSeparator/>
      </w:r>
    </w:p>
  </w:footnote>
  <w:footnote w:id="1">
    <w:p w:rsidR="00467539" w:rsidRDefault="00467539" w:rsidP="003902F3">
      <w:pPr>
        <w:pStyle w:val="Textonotapie"/>
        <w:spacing w:after="0"/>
        <w:jc w:val="both"/>
        <w:rPr>
          <w:rFonts w:ascii="Tahoma" w:hAnsi="Tahoma" w:cs="Tahoma"/>
          <w:color w:val="00B050"/>
        </w:rPr>
      </w:pPr>
      <w:r w:rsidRPr="00C9773A">
        <w:rPr>
          <w:rStyle w:val="Refdenotaalpie"/>
        </w:rPr>
        <w:footnoteRef/>
      </w:r>
      <w:r w:rsidRPr="000A1960">
        <w:rPr>
          <w:rFonts w:ascii="Tahoma" w:hAnsi="Tahoma" w:cs="Tahoma"/>
          <w:b/>
        </w:rPr>
        <w:t xml:space="preserve"> </w:t>
      </w:r>
      <w:r>
        <w:rPr>
          <w:rFonts w:ascii="Tahoma" w:hAnsi="Tahoma" w:cs="Tahoma"/>
          <w:b/>
          <w:lang w:val="es-ES_tradnl"/>
        </w:rPr>
        <w:t>Alba-María Martínez-Sala</w:t>
      </w:r>
      <w:r w:rsidRPr="000A1960">
        <w:rPr>
          <w:rFonts w:ascii="Tahoma" w:hAnsi="Tahoma" w:cs="Tahoma"/>
          <w:b/>
          <w:bCs/>
        </w:rPr>
        <w:t>:</w:t>
      </w:r>
      <w:r>
        <w:rPr>
          <w:rFonts w:ascii="Tahoma" w:hAnsi="Tahoma" w:cs="Tahoma"/>
          <w:bCs/>
        </w:rPr>
        <w:t xml:space="preserve"> P</w:t>
      </w:r>
      <w:r w:rsidRPr="00BB0CB5">
        <w:rPr>
          <w:rFonts w:ascii="Tahoma" w:hAnsi="Tahoma" w:cs="Tahoma"/>
          <w:bCs/>
        </w:rPr>
        <w:t xml:space="preserve">rofesora Ayudante Doctora (acreditada a Contratada Doctora por la ANECA y AVAP) en la Universidad de Alicante (UA), en el departamento de Comunicación y Psicología Social (Grado oficial y Másteres oficiales). </w:t>
      </w:r>
      <w:r w:rsidRPr="000A1960">
        <w:rPr>
          <w:rFonts w:ascii="Tahoma" w:hAnsi="Tahoma" w:cs="Tahoma"/>
          <w:color w:val="00B050"/>
        </w:rPr>
        <w:t xml:space="preserve"> </w:t>
      </w:r>
    </w:p>
    <w:p w:rsidR="00467539" w:rsidRPr="00517A34" w:rsidRDefault="00467539" w:rsidP="003902F3">
      <w:pPr>
        <w:pStyle w:val="Textonotapie"/>
        <w:spacing w:after="0"/>
        <w:jc w:val="both"/>
        <w:rPr>
          <w:rFonts w:ascii="Tahoma" w:hAnsi="Tahoma" w:cs="Tahoma"/>
          <w:color w:val="00B050"/>
        </w:rPr>
      </w:pPr>
      <w:hyperlink r:id="rId1" w:history="1">
        <w:r w:rsidRPr="00D82F95">
          <w:rPr>
            <w:rStyle w:val="Hipervnculo"/>
            <w:rFonts w:ascii="Tahoma" w:hAnsi="Tahoma" w:cs="Tahoma"/>
          </w:rPr>
          <w:t>albamaria.martinez@ua.es</w:t>
        </w:r>
      </w:hyperlink>
      <w:r w:rsidRPr="000A1960">
        <w:rPr>
          <w:rFonts w:ascii="Tahoma" w:hAnsi="Tahoma" w:cs="Tahoma"/>
          <w:sz w:val="24"/>
          <w:szCs w:val="24"/>
        </w:rPr>
        <w:t xml:space="preserve"> </w:t>
      </w:r>
      <w:r w:rsidRPr="000A1960">
        <w:rPr>
          <w:rStyle w:val="Hipervnculo"/>
          <w:rFonts w:ascii="Tahoma" w:hAnsi="Tahoma" w:cs="Tahoma"/>
        </w:rPr>
        <w:t xml:space="preserve"> </w:t>
      </w:r>
    </w:p>
  </w:footnote>
  <w:footnote w:id="2">
    <w:p w:rsidR="00467539" w:rsidRPr="003902F3" w:rsidRDefault="00467539" w:rsidP="003902F3">
      <w:pPr>
        <w:pStyle w:val="Ttulo"/>
        <w:keepNext w:val="0"/>
        <w:spacing w:before="0" w:after="0"/>
        <w:jc w:val="both"/>
        <w:rPr>
          <w:rFonts w:ascii="Tahoma" w:hAnsi="Tahoma" w:cs="Tahoma"/>
          <w:bCs/>
          <w:sz w:val="20"/>
        </w:rPr>
      </w:pPr>
      <w:r w:rsidRPr="003902F3">
        <w:rPr>
          <w:rStyle w:val="Refdenotaalpie"/>
          <w:rFonts w:ascii="Tahoma" w:hAnsi="Tahoma" w:cs="Tahoma"/>
          <w:bCs/>
          <w:sz w:val="20"/>
        </w:rPr>
        <w:footnoteRef/>
      </w:r>
      <w:r w:rsidRPr="003902F3">
        <w:rPr>
          <w:rFonts w:ascii="Tahoma" w:hAnsi="Tahoma" w:cs="Tahoma"/>
          <w:bCs/>
          <w:sz w:val="20"/>
        </w:rPr>
        <w:t xml:space="preserve"> Los</w:t>
      </w:r>
      <w:r w:rsidRPr="003902F3">
        <w:rPr>
          <w:rFonts w:ascii="Tahoma" w:hAnsi="Tahoma" w:cs="Tahoma"/>
          <w:bCs/>
          <w:i/>
          <w:iCs/>
          <w:sz w:val="20"/>
        </w:rPr>
        <w:t xml:space="preserve"> “</w:t>
      </w:r>
      <w:proofErr w:type="spellStart"/>
      <w:r w:rsidRPr="003902F3">
        <w:rPr>
          <w:rFonts w:ascii="Tahoma" w:hAnsi="Tahoma" w:cs="Tahoma"/>
          <w:bCs/>
          <w:i/>
          <w:iCs/>
          <w:sz w:val="20"/>
        </w:rPr>
        <w:t>retweets</w:t>
      </w:r>
      <w:proofErr w:type="spellEnd"/>
      <w:r w:rsidRPr="003902F3">
        <w:rPr>
          <w:rFonts w:ascii="Tahoma" w:hAnsi="Tahoma" w:cs="Tahoma"/>
          <w:bCs/>
          <w:i/>
          <w:iCs/>
          <w:sz w:val="20"/>
        </w:rPr>
        <w:t>”</w:t>
      </w:r>
      <w:r w:rsidRPr="003902F3">
        <w:rPr>
          <w:rFonts w:ascii="Tahoma" w:hAnsi="Tahoma" w:cs="Tahoma"/>
          <w:bCs/>
          <w:sz w:val="20"/>
        </w:rPr>
        <w:t xml:space="preserve"> solo se contemplan en el caso de Twitter ya que los datos relativos a la opción equivalente en Instagram: “compartir” no son visibles.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39" w:rsidRPr="003A4F9F" w:rsidRDefault="00467539" w:rsidP="003A4F9F">
    <w:pPr>
      <w:pStyle w:val="Encabezado"/>
      <w:spacing w:after="0"/>
    </w:pPr>
    <w:r>
      <w:rPr>
        <w:rFonts w:ascii="Tahoma" w:hAnsi="Tahoma" w:cs="Tahoma"/>
        <w:bCs/>
        <w:sz w:val="22"/>
        <w:szCs w:val="22"/>
        <w:lang w:val="es-ES"/>
      </w:rPr>
      <w:t xml:space="preserve">Martínez Sala, A. M., Barrientos-Báez, A. y Caldevilla-Domínguez, D. </w:t>
    </w:r>
    <w:proofErr w:type="spellStart"/>
    <w:r w:rsidRPr="00756AC3">
      <w:rPr>
        <w:rFonts w:ascii="Tahoma" w:hAnsi="Tahoma" w:cs="Tahoma"/>
        <w:bCs/>
        <w:i/>
        <w:sz w:val="22"/>
        <w:szCs w:val="22"/>
        <w:lang w:val="es-ES"/>
      </w:rPr>
      <w:t>F</w:t>
    </w:r>
    <w:r>
      <w:rPr>
        <w:rFonts w:ascii="Tahoma" w:hAnsi="Tahoma" w:cs="Tahoma"/>
        <w:bCs/>
        <w:i/>
        <w:sz w:val="22"/>
        <w:szCs w:val="22"/>
        <w:lang w:val="es-ES"/>
      </w:rPr>
      <w:t>andom</w:t>
    </w:r>
    <w:proofErr w:type="spellEnd"/>
    <w:r>
      <w:rPr>
        <w:rFonts w:ascii="Tahoma" w:hAnsi="Tahoma" w:cs="Tahoma"/>
        <w:bCs/>
        <w:i/>
        <w:sz w:val="22"/>
        <w:szCs w:val="22"/>
        <w:lang w:val="es-ES"/>
      </w:rPr>
      <w:t xml:space="preserve"> televisivo. E</w:t>
    </w:r>
    <w:r w:rsidRPr="00756AC3">
      <w:rPr>
        <w:rFonts w:ascii="Tahoma" w:hAnsi="Tahoma" w:cs="Tahoma"/>
        <w:bCs/>
        <w:i/>
        <w:sz w:val="22"/>
        <w:szCs w:val="22"/>
        <w:lang w:val="es-ES"/>
      </w:rPr>
      <w:t>studio de su impacto en la estrategia de comunicació</w:t>
    </w:r>
    <w:r>
      <w:rPr>
        <w:rFonts w:ascii="Tahoma" w:hAnsi="Tahoma" w:cs="Tahoma"/>
        <w:bCs/>
        <w:i/>
        <w:sz w:val="22"/>
        <w:szCs w:val="22"/>
        <w:lang w:val="es-ES"/>
      </w:rPr>
      <w:t xml:space="preserve">n en redes sociales de </w:t>
    </w:r>
    <w:proofErr w:type="spellStart"/>
    <w:r>
      <w:rPr>
        <w:rFonts w:ascii="Tahoma" w:hAnsi="Tahoma" w:cs="Tahoma"/>
        <w:bCs/>
        <w:i/>
        <w:sz w:val="22"/>
        <w:szCs w:val="22"/>
        <w:lang w:val="es-ES"/>
      </w:rPr>
      <w:t>N</w:t>
    </w:r>
    <w:r w:rsidRPr="00756AC3">
      <w:rPr>
        <w:rFonts w:ascii="Tahoma" w:hAnsi="Tahoma" w:cs="Tahoma"/>
        <w:bCs/>
        <w:i/>
        <w:sz w:val="22"/>
        <w:szCs w:val="22"/>
        <w:lang w:val="es-ES"/>
      </w:rPr>
      <w:t>etflix</w:t>
    </w:r>
    <w:proofErr w:type="spellEnd"/>
    <w:r>
      <w:rPr>
        <w:rFonts w:ascii="Tahoma" w:hAnsi="Tahoma" w:cs="Tahoma"/>
        <w:bCs/>
        <w:i/>
        <w:sz w:val="22"/>
        <w:szCs w:val="22"/>
        <w:lang w:val="es-E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39" w:rsidRDefault="00467539" w:rsidP="00A77FAF">
    <w:pPr>
      <w:pStyle w:val="Encabezado"/>
      <w:ind w:left="-709"/>
    </w:pPr>
    <w:r>
      <w:rPr>
        <w:noProof/>
        <w:lang w:val="es-ES_tradnl" w:eastAsia="es-ES_tradnl"/>
      </w:rPr>
      <mc:AlternateContent>
        <mc:Choice Requires="wpg">
          <w:drawing>
            <wp:anchor distT="0" distB="0" distL="114300" distR="114300" simplePos="0" relativeHeight="251660288" behindDoc="0" locked="0" layoutInCell="1" allowOverlap="1" wp14:anchorId="3B6B2EDB" wp14:editId="19F14D05">
              <wp:simplePos x="0" y="0"/>
              <wp:positionH relativeFrom="column">
                <wp:posOffset>-424438</wp:posOffset>
              </wp:positionH>
              <wp:positionV relativeFrom="paragraph">
                <wp:posOffset>-179070</wp:posOffset>
              </wp:positionV>
              <wp:extent cx="6794984" cy="808355"/>
              <wp:effectExtent l="0" t="0" r="635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984" cy="808355"/>
                        <a:chOff x="764" y="386"/>
                        <a:chExt cx="10418" cy="1273"/>
                      </a:xfrm>
                    </wpg:grpSpPr>
                    <wps:wsp>
                      <wps:cNvPr id="13" name="Text Box 2"/>
                      <wps:cNvSpPr txBox="1">
                        <a:spLocks noChangeArrowheads="1"/>
                      </wps:cNvSpPr>
                      <wps:spPr bwMode="auto">
                        <a:xfrm>
                          <a:off x="1968" y="662"/>
                          <a:ext cx="9214"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539" w:rsidRDefault="00467539" w:rsidP="00002CA6">
                            <w:pPr>
                              <w:spacing w:after="0"/>
                              <w:rPr>
                                <w:rFonts w:ascii="Tahoma" w:hAnsi="Tahoma" w:cs="Tahoma"/>
                                <w:b/>
                                <w:noProof/>
                                <w:color w:val="auto"/>
                                <w:sz w:val="20"/>
                                <w:szCs w:val="20"/>
                              </w:rPr>
                            </w:pPr>
                            <w:r>
                              <w:rPr>
                                <w:rFonts w:ascii="Tahoma" w:hAnsi="Tahoma" w:cs="Tahoma"/>
                                <w:b/>
                                <w:noProof/>
                                <w:sz w:val="20"/>
                                <w:szCs w:val="20"/>
                              </w:rPr>
                              <w:t>Revista de Comunicación</w:t>
                            </w:r>
                            <w:r w:rsidR="007E7893">
                              <w:rPr>
                                <w:rFonts w:ascii="Tahoma" w:hAnsi="Tahoma" w:cs="Tahoma"/>
                                <w:b/>
                                <w:noProof/>
                                <w:sz w:val="20"/>
                                <w:szCs w:val="20"/>
                              </w:rPr>
                              <w:t xml:space="preserve"> de la SEECI. 2021, nº 54, 57-80</w:t>
                            </w:r>
                          </w:p>
                          <w:p w:rsidR="00467539" w:rsidRDefault="00467539" w:rsidP="00002CA6">
                            <w:pPr>
                              <w:spacing w:after="0"/>
                              <w:rPr>
                                <w:rFonts w:ascii="Tahoma" w:hAnsi="Tahoma" w:cs="Tahoma"/>
                                <w:b/>
                                <w:noProof/>
                              </w:rPr>
                            </w:pPr>
                            <w:r>
                              <w:rPr>
                                <w:rFonts w:ascii="Tahoma" w:hAnsi="Tahoma" w:cs="Tahoma"/>
                                <w:b/>
                                <w:sz w:val="20"/>
                                <w:szCs w:val="20"/>
                              </w:rPr>
                              <w:t>ISSN:</w:t>
                            </w:r>
                            <w:r>
                              <w:rPr>
                                <w:rFonts w:ascii="Arial" w:hAnsi="Arial" w:cs="Arial"/>
                                <w:b/>
                                <w:color w:val="000000"/>
                                <w:sz w:val="20"/>
                                <w:szCs w:val="20"/>
                              </w:rPr>
                              <w:t xml:space="preserve"> </w:t>
                            </w:r>
                            <w:r>
                              <w:rPr>
                                <w:rFonts w:ascii="Tahoma" w:hAnsi="Tahoma" w:cs="Tahoma"/>
                                <w:b/>
                                <w:sz w:val="20"/>
                                <w:szCs w:val="20"/>
                              </w:rPr>
                              <w:t>1576-3420</w:t>
                            </w:r>
                          </w:p>
                          <w:p w:rsidR="00467539" w:rsidRDefault="00467539" w:rsidP="00A77FAF">
                            <w:pPr>
                              <w:spacing w:before="240" w:after="0"/>
                              <w:rPr>
                                <w:rFonts w:ascii="Tahoma" w:hAnsi="Tahoma" w:cs="Tahoma"/>
                                <w:b/>
                                <w:noProof/>
                              </w:rPr>
                            </w:pPr>
                          </w:p>
                          <w:p w:rsidR="00467539" w:rsidRPr="00DB2261" w:rsidRDefault="00467539" w:rsidP="00A77FAF">
                            <w:pPr>
                              <w:spacing w:before="240" w:after="0"/>
                              <w:rPr>
                                <w:rFonts w:ascii="Tahoma" w:hAnsi="Tahoma" w:cs="Tahoma"/>
                                <w:b/>
                                <w:sz w:val="24"/>
                                <w:szCs w:val="24"/>
                              </w:rPr>
                            </w:pPr>
                          </w:p>
                        </w:txbxContent>
                      </wps:txbx>
                      <wps:bodyPr rot="0" vert="horz" wrap="square" lIns="91440" tIns="45720" rIns="91440" bIns="45720" anchor="t" anchorCtr="0" upright="1">
                        <a:noAutofit/>
                      </wps:bodyPr>
                    </wps:wsp>
                    <pic:pic xmlns:pic="http://schemas.openxmlformats.org/drawingml/2006/picture">
                      <pic:nvPicPr>
                        <pic:cNvPr id="14" name="5 Image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764" y="386"/>
                          <a:ext cx="1239" cy="12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2" o:spid="_x0000_s1026" style="position:absolute;left:0;text-align:left;margin-left:-33.4pt;margin-top:-14.1pt;width:535.05pt;height:63.65pt;z-index:251660288" coordorigin="764,386" coordsize="10418,12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">
              <v:shapetype id="_x0000_t202" coordsize="21600,21600" o:spt="202" path="m,l,21600r21600,l21600,xe">
                <v:stroke joinstyle="miter"/>
                <v:path gradientshapeok="t" o:connecttype="rect"/>
              </v:shapetype>
              <v:shape id="Text Box 2" o:spid="_x0000_s1027" type="#_x0000_t202" style="position:absolute;left:1968;top:662;width:9214;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67539" w:rsidRDefault="00467539" w:rsidP="00002CA6">
                      <w:pPr>
                        <w:spacing w:after="0"/>
                        <w:rPr>
                          <w:rFonts w:ascii="Tahoma" w:hAnsi="Tahoma" w:cs="Tahoma"/>
                          <w:b/>
                          <w:noProof/>
                          <w:color w:val="auto"/>
                          <w:sz w:val="20"/>
                          <w:szCs w:val="20"/>
                        </w:rPr>
                      </w:pPr>
                      <w:r>
                        <w:rPr>
                          <w:rFonts w:ascii="Tahoma" w:hAnsi="Tahoma" w:cs="Tahoma"/>
                          <w:b/>
                          <w:noProof/>
                          <w:sz w:val="20"/>
                          <w:szCs w:val="20"/>
                        </w:rPr>
                        <w:t>Revista de Comunicación</w:t>
                      </w:r>
                      <w:r w:rsidR="007E7893">
                        <w:rPr>
                          <w:rFonts w:ascii="Tahoma" w:hAnsi="Tahoma" w:cs="Tahoma"/>
                          <w:b/>
                          <w:noProof/>
                          <w:sz w:val="20"/>
                          <w:szCs w:val="20"/>
                        </w:rPr>
                        <w:t xml:space="preserve"> de la SEECI. 2021, nº 54, 57-80</w:t>
                      </w:r>
                    </w:p>
                    <w:p w:rsidR="00467539" w:rsidRDefault="00467539" w:rsidP="00002CA6">
                      <w:pPr>
                        <w:spacing w:after="0"/>
                        <w:rPr>
                          <w:rFonts w:ascii="Tahoma" w:hAnsi="Tahoma" w:cs="Tahoma"/>
                          <w:b/>
                          <w:noProof/>
                        </w:rPr>
                      </w:pPr>
                      <w:r>
                        <w:rPr>
                          <w:rFonts w:ascii="Tahoma" w:hAnsi="Tahoma" w:cs="Tahoma"/>
                          <w:b/>
                          <w:sz w:val="20"/>
                          <w:szCs w:val="20"/>
                        </w:rPr>
                        <w:t>ISSN:</w:t>
                      </w:r>
                      <w:r>
                        <w:rPr>
                          <w:rFonts w:ascii="Arial" w:hAnsi="Arial" w:cs="Arial"/>
                          <w:b/>
                          <w:color w:val="000000"/>
                          <w:sz w:val="20"/>
                          <w:szCs w:val="20"/>
                        </w:rPr>
                        <w:t xml:space="preserve"> </w:t>
                      </w:r>
                      <w:r>
                        <w:rPr>
                          <w:rFonts w:ascii="Tahoma" w:hAnsi="Tahoma" w:cs="Tahoma"/>
                          <w:b/>
                          <w:sz w:val="20"/>
                          <w:szCs w:val="20"/>
                        </w:rPr>
                        <w:t>1576-3420</w:t>
                      </w:r>
                    </w:p>
                    <w:p w:rsidR="00467539" w:rsidRDefault="00467539" w:rsidP="00A77FAF">
                      <w:pPr>
                        <w:spacing w:before="240" w:after="0"/>
                        <w:rPr>
                          <w:rFonts w:ascii="Tahoma" w:hAnsi="Tahoma" w:cs="Tahoma"/>
                          <w:b/>
                          <w:noProof/>
                        </w:rPr>
                      </w:pPr>
                    </w:p>
                    <w:p w:rsidR="00467539" w:rsidRPr="00DB2261" w:rsidRDefault="00467539" w:rsidP="00A77FAF">
                      <w:pPr>
                        <w:spacing w:before="240" w:after="0"/>
                        <w:rPr>
                          <w:rFonts w:ascii="Tahoma" w:hAnsi="Tahoma" w:cs="Tahoma"/>
                          <w:b/>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764;top:386;width:1239;height:1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efya8AAAA2wAAAA8AAABkcnMvZG93bnJldi54bWxET0sKwjAQ3QveIYzgpmiqiEg1igiCC0H8&#10;7YdmbIvNpCRR6+2NILibx/vOYtWaWjzJ+cqygtEwBUGcW11xoeBy3g5mIHxA1lhbJgVv8rBadjsL&#10;zLR98ZGep1CIGMI+QwVlCE0mpc9LMuiHtiGO3M06gyFCV0jt8BXDTS3HaTqVBiuODSU2tCkpv58e&#10;RgHuD6lcJ49kf0jIuEteN7vrSKl+r13PQQRqw1/8c+90nD+B7y/xALn8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5nn8mvAAAANsAAAAPAAAAAAAAAAAAAAAAAJ8CAABkcnMv&#10;ZG93bnJldi54bWxQSwUGAAAAAAQABAD3AAAAiAMAAAAA&#10;">
                <v:imagedata r:id="rId2" o:title=""/>
              </v:shape>
            </v:group>
          </w:pict>
        </mc:Fallback>
      </mc:AlternateContent>
    </w:r>
  </w:p>
  <w:p w:rsidR="00467539" w:rsidRDefault="00467539">
    <w:pPr>
      <w:pStyle w:val="Encabezado"/>
    </w:pPr>
    <w:r>
      <w:rPr>
        <w:noProof/>
        <w:lang w:val="es-ES_tradnl" w:eastAsia="es-ES_tradnl"/>
      </w:rPr>
      <mc:AlternateContent>
        <mc:Choice Requires="wps">
          <w:drawing>
            <wp:anchor distT="4294967295" distB="4294967295" distL="114300" distR="114300" simplePos="0" relativeHeight="251659264" behindDoc="0" locked="0" layoutInCell="1" allowOverlap="1" wp14:anchorId="59247AE7" wp14:editId="678BD1B3">
              <wp:simplePos x="0" y="0"/>
              <wp:positionH relativeFrom="column">
                <wp:posOffset>367030</wp:posOffset>
              </wp:positionH>
              <wp:positionV relativeFrom="paragraph">
                <wp:posOffset>191770</wp:posOffset>
              </wp:positionV>
              <wp:extent cx="5868035" cy="0"/>
              <wp:effectExtent l="0" t="0" r="18415" b="1905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1C9868" id="_x0000_t32" coordsize="21600,21600" o:spt="32" o:oned="t" path="m,l21600,21600e" filled="f">
              <v:path arrowok="t" fillok="f" o:connecttype="none"/>
              <o:lock v:ext="edit" shapetype="t"/>
            </v:shapetype>
            <v:shape id="Conector recto de flecha 11" o:spid="_x0000_s1026" type="#_x0000_t32" style="position:absolute;margin-left:28.9pt;margin-top:15.1pt;width:462.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escarga" style="width:168.85pt;height:168.85pt;visibility:visible;mso-wrap-style:square" o:bullet="t">
        <v:imagedata r:id="rId1" o:title="descarga"/>
      </v:shape>
    </w:pict>
  </w:numPicBullet>
  <w:abstractNum w:abstractNumId="0">
    <w:nsid w:val="08221FEF"/>
    <w:multiLevelType w:val="hybridMultilevel"/>
    <w:tmpl w:val="A762EA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8C05F7C"/>
    <w:multiLevelType w:val="hybridMultilevel"/>
    <w:tmpl w:val="CB7A9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845C69"/>
    <w:multiLevelType w:val="multilevel"/>
    <w:tmpl w:val="CB3E84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E0D4753"/>
    <w:multiLevelType w:val="hybridMultilevel"/>
    <w:tmpl w:val="1AE8C048"/>
    <w:lvl w:ilvl="0" w:tplc="E9702B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FD767B"/>
    <w:multiLevelType w:val="hybridMultilevel"/>
    <w:tmpl w:val="5CEC32DA"/>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3071592"/>
    <w:multiLevelType w:val="multilevel"/>
    <w:tmpl w:val="5516A69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A236B59"/>
    <w:multiLevelType w:val="hybridMultilevel"/>
    <w:tmpl w:val="ED94D9E6"/>
    <w:lvl w:ilvl="0" w:tplc="8A4ADE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4A000F"/>
    <w:multiLevelType w:val="hybridMultilevel"/>
    <w:tmpl w:val="BF129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892D4C"/>
    <w:multiLevelType w:val="multilevel"/>
    <w:tmpl w:val="DE5E44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5766B76"/>
    <w:multiLevelType w:val="hybridMultilevel"/>
    <w:tmpl w:val="C33C8706"/>
    <w:lvl w:ilvl="0" w:tplc="E9702B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1637D"/>
    <w:multiLevelType w:val="multilevel"/>
    <w:tmpl w:val="0FEE63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6E15025"/>
    <w:multiLevelType w:val="hybridMultilevel"/>
    <w:tmpl w:val="E2E4C5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89221F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710589"/>
    <w:multiLevelType w:val="multilevel"/>
    <w:tmpl w:val="FE5A727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35820858"/>
    <w:multiLevelType w:val="multilevel"/>
    <w:tmpl w:val="97E01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9CE5ADD"/>
    <w:multiLevelType w:val="hybridMultilevel"/>
    <w:tmpl w:val="48740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24023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ED430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043DDA"/>
    <w:multiLevelType w:val="hybridMultilevel"/>
    <w:tmpl w:val="17627476"/>
    <w:lvl w:ilvl="0" w:tplc="E9702B3C">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9">
    <w:nsid w:val="42283EE5"/>
    <w:multiLevelType w:val="hybridMultilevel"/>
    <w:tmpl w:val="2F26324E"/>
    <w:lvl w:ilvl="0" w:tplc="E9702B3C">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0">
    <w:nsid w:val="4F0B1B62"/>
    <w:multiLevelType w:val="hybridMultilevel"/>
    <w:tmpl w:val="5B367EA6"/>
    <w:lvl w:ilvl="0" w:tplc="E9702B3C">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1">
    <w:nsid w:val="537025C6"/>
    <w:multiLevelType w:val="hybridMultilevel"/>
    <w:tmpl w:val="C1FA3F3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551B411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037A2A"/>
    <w:multiLevelType w:val="hybridMultilevel"/>
    <w:tmpl w:val="C92AE1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0641CE"/>
    <w:multiLevelType w:val="hybridMultilevel"/>
    <w:tmpl w:val="6928A9D4"/>
    <w:lvl w:ilvl="0" w:tplc="E9702B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C3A79DD"/>
    <w:multiLevelType w:val="hybridMultilevel"/>
    <w:tmpl w:val="EFF4F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C6B464D"/>
    <w:multiLevelType w:val="hybridMultilevel"/>
    <w:tmpl w:val="65107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D1D7A23"/>
    <w:multiLevelType w:val="hybridMultilevel"/>
    <w:tmpl w:val="E892C614"/>
    <w:lvl w:ilvl="0" w:tplc="E9702B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42D5D5C"/>
    <w:multiLevelType w:val="multilevel"/>
    <w:tmpl w:val="BDA038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51F15C1"/>
    <w:multiLevelType w:val="multilevel"/>
    <w:tmpl w:val="682CD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3D4915"/>
    <w:multiLevelType w:val="hybridMultilevel"/>
    <w:tmpl w:val="C2D8540C"/>
    <w:lvl w:ilvl="0" w:tplc="E9702B3C">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1">
    <w:nsid w:val="699E107E"/>
    <w:multiLevelType w:val="hybridMultilevel"/>
    <w:tmpl w:val="945862CA"/>
    <w:lvl w:ilvl="0" w:tplc="E9702B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CA3D15"/>
    <w:multiLevelType w:val="hybridMultilevel"/>
    <w:tmpl w:val="897277A0"/>
    <w:lvl w:ilvl="0" w:tplc="A09AB02E">
      <w:start w:val="1"/>
      <w:numFmt w:val="decimal"/>
      <w:lvlText w:val="%1."/>
      <w:lvlJc w:val="left"/>
      <w:pPr>
        <w:ind w:left="720" w:hanging="360"/>
      </w:pPr>
      <w:rPr>
        <w:rFonts w:cs="Tahoma"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70B93343"/>
    <w:multiLevelType w:val="hybridMultilevel"/>
    <w:tmpl w:val="C3D69F90"/>
    <w:lvl w:ilvl="0" w:tplc="52E0E55A">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16D4295"/>
    <w:multiLevelType w:val="multilevel"/>
    <w:tmpl w:val="3B8818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2282AC3"/>
    <w:multiLevelType w:val="hybridMultilevel"/>
    <w:tmpl w:val="6E96FD10"/>
    <w:lvl w:ilvl="0" w:tplc="52E0E55A">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3B24134"/>
    <w:multiLevelType w:val="multilevel"/>
    <w:tmpl w:val="3E6880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nsid w:val="755459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BF688E"/>
    <w:multiLevelType w:val="hybridMultilevel"/>
    <w:tmpl w:val="CDE08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45104"/>
    <w:multiLevelType w:val="multilevel"/>
    <w:tmpl w:val="7D42C5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C2738AC"/>
    <w:multiLevelType w:val="hybridMultilevel"/>
    <w:tmpl w:val="AA029FF8"/>
    <w:lvl w:ilvl="0" w:tplc="E9702B3C">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num w:numId="1">
    <w:abstractNumId w:val="29"/>
  </w:num>
  <w:num w:numId="2">
    <w:abstractNumId w:val="39"/>
  </w:num>
  <w:num w:numId="3">
    <w:abstractNumId w:val="35"/>
  </w:num>
  <w:num w:numId="4">
    <w:abstractNumId w:val="33"/>
  </w:num>
  <w:num w:numId="5">
    <w:abstractNumId w:val="40"/>
  </w:num>
  <w:num w:numId="6">
    <w:abstractNumId w:val="18"/>
  </w:num>
  <w:num w:numId="7">
    <w:abstractNumId w:val="19"/>
  </w:num>
  <w:num w:numId="8">
    <w:abstractNumId w:val="30"/>
  </w:num>
  <w:num w:numId="9">
    <w:abstractNumId w:val="20"/>
  </w:num>
  <w:num w:numId="10">
    <w:abstractNumId w:val="22"/>
  </w:num>
  <w:num w:numId="11">
    <w:abstractNumId w:val="32"/>
  </w:num>
  <w:num w:numId="12">
    <w:abstractNumId w:val="37"/>
  </w:num>
  <w:num w:numId="13">
    <w:abstractNumId w:val="12"/>
  </w:num>
  <w:num w:numId="14">
    <w:abstractNumId w:val="16"/>
  </w:num>
  <w:num w:numId="15">
    <w:abstractNumId w:val="38"/>
  </w:num>
  <w:num w:numId="16">
    <w:abstractNumId w:val="31"/>
  </w:num>
  <w:num w:numId="17">
    <w:abstractNumId w:val="15"/>
  </w:num>
  <w:num w:numId="18">
    <w:abstractNumId w:val="26"/>
  </w:num>
  <w:num w:numId="19">
    <w:abstractNumId w:val="27"/>
  </w:num>
  <w:num w:numId="20">
    <w:abstractNumId w:val="24"/>
  </w:num>
  <w:num w:numId="21">
    <w:abstractNumId w:val="3"/>
  </w:num>
  <w:num w:numId="22">
    <w:abstractNumId w:val="9"/>
  </w:num>
  <w:num w:numId="23">
    <w:abstractNumId w:val="17"/>
  </w:num>
  <w:num w:numId="24">
    <w:abstractNumId w:val="0"/>
  </w:num>
  <w:num w:numId="25">
    <w:abstractNumId w:val="11"/>
  </w:num>
  <w:num w:numId="26">
    <w:abstractNumId w:val="21"/>
  </w:num>
  <w:num w:numId="27">
    <w:abstractNumId w:val="4"/>
  </w:num>
  <w:num w:numId="28">
    <w:abstractNumId w:val="14"/>
  </w:num>
  <w:num w:numId="29">
    <w:abstractNumId w:val="36"/>
  </w:num>
  <w:num w:numId="30">
    <w:abstractNumId w:val="28"/>
  </w:num>
  <w:num w:numId="31">
    <w:abstractNumId w:val="8"/>
  </w:num>
  <w:num w:numId="32">
    <w:abstractNumId w:val="10"/>
  </w:num>
  <w:num w:numId="33">
    <w:abstractNumId w:val="2"/>
  </w:num>
  <w:num w:numId="34">
    <w:abstractNumId w:val="34"/>
  </w:num>
  <w:num w:numId="35">
    <w:abstractNumId w:val="13"/>
  </w:num>
  <w:num w:numId="36">
    <w:abstractNumId w:val="23"/>
  </w:num>
  <w:num w:numId="37">
    <w:abstractNumId w:val="5"/>
  </w:num>
  <w:num w:numId="38">
    <w:abstractNumId w:val="25"/>
  </w:num>
  <w:num w:numId="39">
    <w:abstractNumId w:val="1"/>
  </w:num>
  <w:num w:numId="40">
    <w:abstractNumId w:val="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 w:vendorID="64" w:dllVersion="131078" w:nlCheck="1" w:checkStyle="1"/>
  <w:activeWritingStyle w:appName="MSWord" w:lang="en-GB"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103F6"/>
    <w:rsid w:val="00002CA6"/>
    <w:rsid w:val="00010490"/>
    <w:rsid w:val="000366E2"/>
    <w:rsid w:val="0003702D"/>
    <w:rsid w:val="00050318"/>
    <w:rsid w:val="00050A19"/>
    <w:rsid w:val="0005176F"/>
    <w:rsid w:val="00051F8F"/>
    <w:rsid w:val="000538BA"/>
    <w:rsid w:val="00054135"/>
    <w:rsid w:val="00062571"/>
    <w:rsid w:val="00076B23"/>
    <w:rsid w:val="00081298"/>
    <w:rsid w:val="00081AC2"/>
    <w:rsid w:val="00083F4A"/>
    <w:rsid w:val="000857DC"/>
    <w:rsid w:val="0009262D"/>
    <w:rsid w:val="00095534"/>
    <w:rsid w:val="000A290C"/>
    <w:rsid w:val="000A4E96"/>
    <w:rsid w:val="000B7C18"/>
    <w:rsid w:val="000C0CCB"/>
    <w:rsid w:val="000C1FD3"/>
    <w:rsid w:val="000C394E"/>
    <w:rsid w:val="000E0D3B"/>
    <w:rsid w:val="000E29E0"/>
    <w:rsid w:val="000F5EFF"/>
    <w:rsid w:val="00102929"/>
    <w:rsid w:val="00111EEA"/>
    <w:rsid w:val="00116452"/>
    <w:rsid w:val="001207CE"/>
    <w:rsid w:val="00122B91"/>
    <w:rsid w:val="001249C8"/>
    <w:rsid w:val="00126557"/>
    <w:rsid w:val="001276BA"/>
    <w:rsid w:val="00131437"/>
    <w:rsid w:val="00132DDF"/>
    <w:rsid w:val="0014114A"/>
    <w:rsid w:val="001412B9"/>
    <w:rsid w:val="00141FDD"/>
    <w:rsid w:val="0015133E"/>
    <w:rsid w:val="001723C2"/>
    <w:rsid w:val="0017372F"/>
    <w:rsid w:val="001777FE"/>
    <w:rsid w:val="00190FBC"/>
    <w:rsid w:val="00191F7A"/>
    <w:rsid w:val="00192CF1"/>
    <w:rsid w:val="001B51EB"/>
    <w:rsid w:val="001C4F8F"/>
    <w:rsid w:val="001D1FBC"/>
    <w:rsid w:val="001E4CA9"/>
    <w:rsid w:val="001F001A"/>
    <w:rsid w:val="00202D1E"/>
    <w:rsid w:val="00206175"/>
    <w:rsid w:val="0021349D"/>
    <w:rsid w:val="00214C04"/>
    <w:rsid w:val="00224078"/>
    <w:rsid w:val="00230A00"/>
    <w:rsid w:val="00231E18"/>
    <w:rsid w:val="00245233"/>
    <w:rsid w:val="00255469"/>
    <w:rsid w:val="00260617"/>
    <w:rsid w:val="00262AC2"/>
    <w:rsid w:val="00263AA6"/>
    <w:rsid w:val="00271C40"/>
    <w:rsid w:val="00273DA5"/>
    <w:rsid w:val="0027530F"/>
    <w:rsid w:val="0028426C"/>
    <w:rsid w:val="00287540"/>
    <w:rsid w:val="00290254"/>
    <w:rsid w:val="002908FD"/>
    <w:rsid w:val="00291D94"/>
    <w:rsid w:val="00297F73"/>
    <w:rsid w:val="002A232D"/>
    <w:rsid w:val="002A2A18"/>
    <w:rsid w:val="002A7D78"/>
    <w:rsid w:val="002B0AB0"/>
    <w:rsid w:val="002B31E5"/>
    <w:rsid w:val="002B3684"/>
    <w:rsid w:val="002B6590"/>
    <w:rsid w:val="002C2939"/>
    <w:rsid w:val="002D1C72"/>
    <w:rsid w:val="002E1992"/>
    <w:rsid w:val="002F01FA"/>
    <w:rsid w:val="002F056F"/>
    <w:rsid w:val="00305C20"/>
    <w:rsid w:val="00320631"/>
    <w:rsid w:val="00321257"/>
    <w:rsid w:val="00321E7E"/>
    <w:rsid w:val="003235E4"/>
    <w:rsid w:val="00327322"/>
    <w:rsid w:val="003357B0"/>
    <w:rsid w:val="00342040"/>
    <w:rsid w:val="00345B49"/>
    <w:rsid w:val="00350086"/>
    <w:rsid w:val="003547F7"/>
    <w:rsid w:val="00363980"/>
    <w:rsid w:val="00377A82"/>
    <w:rsid w:val="0038635A"/>
    <w:rsid w:val="003902F3"/>
    <w:rsid w:val="0039433B"/>
    <w:rsid w:val="003A4F9F"/>
    <w:rsid w:val="003B03E3"/>
    <w:rsid w:val="003B0682"/>
    <w:rsid w:val="003B5332"/>
    <w:rsid w:val="003D56F6"/>
    <w:rsid w:val="003D7BEE"/>
    <w:rsid w:val="003E08FA"/>
    <w:rsid w:val="003E6E30"/>
    <w:rsid w:val="00403161"/>
    <w:rsid w:val="00406394"/>
    <w:rsid w:val="004133EC"/>
    <w:rsid w:val="004300E9"/>
    <w:rsid w:val="00431CE8"/>
    <w:rsid w:val="004348A8"/>
    <w:rsid w:val="00442AC8"/>
    <w:rsid w:val="00445D5E"/>
    <w:rsid w:val="004505FF"/>
    <w:rsid w:val="00452492"/>
    <w:rsid w:val="00453140"/>
    <w:rsid w:val="0046314B"/>
    <w:rsid w:val="00465E8A"/>
    <w:rsid w:val="00467539"/>
    <w:rsid w:val="00470D63"/>
    <w:rsid w:val="004729DE"/>
    <w:rsid w:val="00472A05"/>
    <w:rsid w:val="00484D04"/>
    <w:rsid w:val="004A65DA"/>
    <w:rsid w:val="004B017C"/>
    <w:rsid w:val="004B08D1"/>
    <w:rsid w:val="004B21D3"/>
    <w:rsid w:val="004B25FA"/>
    <w:rsid w:val="004C1D8E"/>
    <w:rsid w:val="004C29C6"/>
    <w:rsid w:val="004D0B0F"/>
    <w:rsid w:val="004E1856"/>
    <w:rsid w:val="004F346A"/>
    <w:rsid w:val="005007DD"/>
    <w:rsid w:val="00503ACC"/>
    <w:rsid w:val="0050630F"/>
    <w:rsid w:val="00525415"/>
    <w:rsid w:val="00527C4F"/>
    <w:rsid w:val="0053507B"/>
    <w:rsid w:val="005439A8"/>
    <w:rsid w:val="00544C42"/>
    <w:rsid w:val="00546B9F"/>
    <w:rsid w:val="00546C91"/>
    <w:rsid w:val="0057725D"/>
    <w:rsid w:val="00582CBD"/>
    <w:rsid w:val="00590714"/>
    <w:rsid w:val="00592E6C"/>
    <w:rsid w:val="00593F76"/>
    <w:rsid w:val="005A0F10"/>
    <w:rsid w:val="005A1F72"/>
    <w:rsid w:val="005A40CE"/>
    <w:rsid w:val="005A73AB"/>
    <w:rsid w:val="005D300E"/>
    <w:rsid w:val="005D3F1F"/>
    <w:rsid w:val="005D4565"/>
    <w:rsid w:val="005D6CE1"/>
    <w:rsid w:val="005E41A7"/>
    <w:rsid w:val="005E4E96"/>
    <w:rsid w:val="005E753E"/>
    <w:rsid w:val="005E7C71"/>
    <w:rsid w:val="005F5344"/>
    <w:rsid w:val="005F6ED3"/>
    <w:rsid w:val="006247B6"/>
    <w:rsid w:val="006403A7"/>
    <w:rsid w:val="00642361"/>
    <w:rsid w:val="006448DE"/>
    <w:rsid w:val="00646229"/>
    <w:rsid w:val="006548AC"/>
    <w:rsid w:val="006562C6"/>
    <w:rsid w:val="00664863"/>
    <w:rsid w:val="00672DBA"/>
    <w:rsid w:val="006871E7"/>
    <w:rsid w:val="00694A31"/>
    <w:rsid w:val="006A7132"/>
    <w:rsid w:val="006B0637"/>
    <w:rsid w:val="006B3502"/>
    <w:rsid w:val="006B4EC2"/>
    <w:rsid w:val="006C5CB9"/>
    <w:rsid w:val="006D439C"/>
    <w:rsid w:val="006D7E45"/>
    <w:rsid w:val="006E6006"/>
    <w:rsid w:val="006E6A7E"/>
    <w:rsid w:val="006F0AAD"/>
    <w:rsid w:val="006F1EE0"/>
    <w:rsid w:val="006F31FB"/>
    <w:rsid w:val="006F5B75"/>
    <w:rsid w:val="00705F67"/>
    <w:rsid w:val="0071555E"/>
    <w:rsid w:val="00715736"/>
    <w:rsid w:val="00716072"/>
    <w:rsid w:val="007162EB"/>
    <w:rsid w:val="00740778"/>
    <w:rsid w:val="007473D2"/>
    <w:rsid w:val="00766F46"/>
    <w:rsid w:val="00772BF4"/>
    <w:rsid w:val="007753F6"/>
    <w:rsid w:val="00794864"/>
    <w:rsid w:val="007965BF"/>
    <w:rsid w:val="007A19F2"/>
    <w:rsid w:val="007B59EE"/>
    <w:rsid w:val="007C5C75"/>
    <w:rsid w:val="007D01CB"/>
    <w:rsid w:val="007D0F46"/>
    <w:rsid w:val="007E0182"/>
    <w:rsid w:val="007E508D"/>
    <w:rsid w:val="007E7893"/>
    <w:rsid w:val="00804133"/>
    <w:rsid w:val="00820DC6"/>
    <w:rsid w:val="0082134C"/>
    <w:rsid w:val="00822A69"/>
    <w:rsid w:val="0082446E"/>
    <w:rsid w:val="00830EA8"/>
    <w:rsid w:val="00831199"/>
    <w:rsid w:val="00844A43"/>
    <w:rsid w:val="00860746"/>
    <w:rsid w:val="00864B71"/>
    <w:rsid w:val="0087494C"/>
    <w:rsid w:val="00877016"/>
    <w:rsid w:val="008809F0"/>
    <w:rsid w:val="00880AA2"/>
    <w:rsid w:val="00881A08"/>
    <w:rsid w:val="00890C6C"/>
    <w:rsid w:val="00897D43"/>
    <w:rsid w:val="008A0F40"/>
    <w:rsid w:val="008C565B"/>
    <w:rsid w:val="008C583F"/>
    <w:rsid w:val="008D5B19"/>
    <w:rsid w:val="008D6457"/>
    <w:rsid w:val="008E068E"/>
    <w:rsid w:val="008E6457"/>
    <w:rsid w:val="008F220D"/>
    <w:rsid w:val="00901F95"/>
    <w:rsid w:val="009107D4"/>
    <w:rsid w:val="00925832"/>
    <w:rsid w:val="00933C7E"/>
    <w:rsid w:val="00934D60"/>
    <w:rsid w:val="009410DE"/>
    <w:rsid w:val="00954CB1"/>
    <w:rsid w:val="009615F8"/>
    <w:rsid w:val="00977E3E"/>
    <w:rsid w:val="009806F0"/>
    <w:rsid w:val="009827A0"/>
    <w:rsid w:val="00982DD7"/>
    <w:rsid w:val="009A00AD"/>
    <w:rsid w:val="009A122B"/>
    <w:rsid w:val="009A1B7C"/>
    <w:rsid w:val="009A3331"/>
    <w:rsid w:val="009A5E4F"/>
    <w:rsid w:val="009B2DC2"/>
    <w:rsid w:val="009B5769"/>
    <w:rsid w:val="009C4CB9"/>
    <w:rsid w:val="009D10B8"/>
    <w:rsid w:val="009D328C"/>
    <w:rsid w:val="009D360C"/>
    <w:rsid w:val="009F27D8"/>
    <w:rsid w:val="009F44F5"/>
    <w:rsid w:val="009F4E07"/>
    <w:rsid w:val="00A07AA6"/>
    <w:rsid w:val="00A07BF2"/>
    <w:rsid w:val="00A115CA"/>
    <w:rsid w:val="00A16465"/>
    <w:rsid w:val="00A213CD"/>
    <w:rsid w:val="00A2359B"/>
    <w:rsid w:val="00A43AE6"/>
    <w:rsid w:val="00A658FD"/>
    <w:rsid w:val="00A65B54"/>
    <w:rsid w:val="00A74935"/>
    <w:rsid w:val="00A77FAF"/>
    <w:rsid w:val="00A80950"/>
    <w:rsid w:val="00A8535F"/>
    <w:rsid w:val="00AA1A27"/>
    <w:rsid w:val="00AA4B88"/>
    <w:rsid w:val="00AB35CC"/>
    <w:rsid w:val="00AC2175"/>
    <w:rsid w:val="00AE4F48"/>
    <w:rsid w:val="00AF2F9E"/>
    <w:rsid w:val="00B02189"/>
    <w:rsid w:val="00B028D6"/>
    <w:rsid w:val="00B1031C"/>
    <w:rsid w:val="00B113A9"/>
    <w:rsid w:val="00B1487D"/>
    <w:rsid w:val="00B22B9A"/>
    <w:rsid w:val="00B23EFC"/>
    <w:rsid w:val="00B336AF"/>
    <w:rsid w:val="00B34600"/>
    <w:rsid w:val="00B41D29"/>
    <w:rsid w:val="00B54AF0"/>
    <w:rsid w:val="00B55B04"/>
    <w:rsid w:val="00B5606D"/>
    <w:rsid w:val="00B61FE8"/>
    <w:rsid w:val="00B661FB"/>
    <w:rsid w:val="00B817A6"/>
    <w:rsid w:val="00B82CC7"/>
    <w:rsid w:val="00B84FAA"/>
    <w:rsid w:val="00B94177"/>
    <w:rsid w:val="00B95094"/>
    <w:rsid w:val="00BA310B"/>
    <w:rsid w:val="00BA3CFB"/>
    <w:rsid w:val="00BB533E"/>
    <w:rsid w:val="00BE2360"/>
    <w:rsid w:val="00BE6FF3"/>
    <w:rsid w:val="00BF01F9"/>
    <w:rsid w:val="00BF22EF"/>
    <w:rsid w:val="00C000EF"/>
    <w:rsid w:val="00C044F7"/>
    <w:rsid w:val="00C067A6"/>
    <w:rsid w:val="00C103F6"/>
    <w:rsid w:val="00C17C53"/>
    <w:rsid w:val="00C17C99"/>
    <w:rsid w:val="00C17DBD"/>
    <w:rsid w:val="00C2122B"/>
    <w:rsid w:val="00C214CC"/>
    <w:rsid w:val="00C24C87"/>
    <w:rsid w:val="00C2504B"/>
    <w:rsid w:val="00C306BD"/>
    <w:rsid w:val="00C33B17"/>
    <w:rsid w:val="00C40413"/>
    <w:rsid w:val="00C55356"/>
    <w:rsid w:val="00C5546E"/>
    <w:rsid w:val="00C62A92"/>
    <w:rsid w:val="00C6342E"/>
    <w:rsid w:val="00C64D7D"/>
    <w:rsid w:val="00C67928"/>
    <w:rsid w:val="00C70F13"/>
    <w:rsid w:val="00C71836"/>
    <w:rsid w:val="00C74EDA"/>
    <w:rsid w:val="00C81957"/>
    <w:rsid w:val="00C81D48"/>
    <w:rsid w:val="00C8373F"/>
    <w:rsid w:val="00C900C6"/>
    <w:rsid w:val="00C95A21"/>
    <w:rsid w:val="00C9651C"/>
    <w:rsid w:val="00C973BD"/>
    <w:rsid w:val="00CE11A8"/>
    <w:rsid w:val="00CF5A18"/>
    <w:rsid w:val="00CF760A"/>
    <w:rsid w:val="00D150F5"/>
    <w:rsid w:val="00D16947"/>
    <w:rsid w:val="00D2169A"/>
    <w:rsid w:val="00D30DE8"/>
    <w:rsid w:val="00D332B5"/>
    <w:rsid w:val="00D33325"/>
    <w:rsid w:val="00D40149"/>
    <w:rsid w:val="00D404C4"/>
    <w:rsid w:val="00D46C4D"/>
    <w:rsid w:val="00D526A8"/>
    <w:rsid w:val="00D52EA2"/>
    <w:rsid w:val="00D57381"/>
    <w:rsid w:val="00D654AB"/>
    <w:rsid w:val="00D70C99"/>
    <w:rsid w:val="00D75DAB"/>
    <w:rsid w:val="00D817F8"/>
    <w:rsid w:val="00D84B34"/>
    <w:rsid w:val="00DA3474"/>
    <w:rsid w:val="00DA648E"/>
    <w:rsid w:val="00DC2BBD"/>
    <w:rsid w:val="00DC5DEB"/>
    <w:rsid w:val="00DC61AC"/>
    <w:rsid w:val="00DD12EB"/>
    <w:rsid w:val="00DE50E2"/>
    <w:rsid w:val="00DE543F"/>
    <w:rsid w:val="00DF499C"/>
    <w:rsid w:val="00E01E5C"/>
    <w:rsid w:val="00E12E9A"/>
    <w:rsid w:val="00E13EB7"/>
    <w:rsid w:val="00E249D4"/>
    <w:rsid w:val="00E25455"/>
    <w:rsid w:val="00E37082"/>
    <w:rsid w:val="00E40375"/>
    <w:rsid w:val="00E40906"/>
    <w:rsid w:val="00E41627"/>
    <w:rsid w:val="00E43A73"/>
    <w:rsid w:val="00E64876"/>
    <w:rsid w:val="00E674D4"/>
    <w:rsid w:val="00E7690A"/>
    <w:rsid w:val="00E76B14"/>
    <w:rsid w:val="00E910EF"/>
    <w:rsid w:val="00E97956"/>
    <w:rsid w:val="00EA6AF1"/>
    <w:rsid w:val="00EB4274"/>
    <w:rsid w:val="00ED3452"/>
    <w:rsid w:val="00ED38DF"/>
    <w:rsid w:val="00EE0FE1"/>
    <w:rsid w:val="00EF45F3"/>
    <w:rsid w:val="00EF5E1E"/>
    <w:rsid w:val="00F04755"/>
    <w:rsid w:val="00F05338"/>
    <w:rsid w:val="00F10D8B"/>
    <w:rsid w:val="00F15E53"/>
    <w:rsid w:val="00F43228"/>
    <w:rsid w:val="00F60648"/>
    <w:rsid w:val="00F6512B"/>
    <w:rsid w:val="00F83524"/>
    <w:rsid w:val="00F872F8"/>
    <w:rsid w:val="00FA07AA"/>
    <w:rsid w:val="00FA3B61"/>
    <w:rsid w:val="00FA3B83"/>
    <w:rsid w:val="00FA56AA"/>
    <w:rsid w:val="00FA7A5F"/>
    <w:rsid w:val="00FB1B3E"/>
    <w:rsid w:val="00FC4072"/>
    <w:rsid w:val="00FC46B9"/>
    <w:rsid w:val="00FD3E0A"/>
    <w:rsid w:val="00FE0DF1"/>
    <w:rsid w:val="00FE1A43"/>
    <w:rsid w:val="00FE4229"/>
    <w:rsid w:val="00FE5853"/>
    <w:rsid w:val="00FE6BC5"/>
    <w:rsid w:val="00FF1358"/>
    <w:rsid w:val="00FF3628"/>
    <w:rsid w:val="00FF5D12"/>
    <w:rsid w:val="00FF7E0F"/>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B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D7"/>
    <w:pPr>
      <w:spacing w:after="200"/>
      <w:jc w:val="center"/>
    </w:pPr>
    <w:rPr>
      <w:color w:val="00000A"/>
      <w:sz w:val="22"/>
      <w:szCs w:val="22"/>
      <w:lang w:val="es-ES"/>
    </w:rPr>
  </w:style>
  <w:style w:type="paragraph" w:styleId="Ttulo2">
    <w:name w:val="heading 2"/>
    <w:basedOn w:val="Normal"/>
    <w:next w:val="Normal"/>
    <w:link w:val="Ttulo2Car"/>
    <w:uiPriority w:val="9"/>
    <w:qFormat/>
    <w:rsid w:val="004D0B0F"/>
    <w:pPr>
      <w:keepNext/>
      <w:keepLines/>
      <w:spacing w:before="200" w:after="0" w:line="276" w:lineRule="auto"/>
      <w:jc w:val="left"/>
      <w:outlineLvl w:val="1"/>
    </w:pPr>
    <w:rPr>
      <w:rFonts w:ascii="Cambria" w:eastAsia="MS Gothic" w:hAnsi="Cambria"/>
      <w:b/>
      <w:bCs/>
      <w:color w:val="4F81BD"/>
      <w:sz w:val="26"/>
      <w:szCs w:val="26"/>
      <w:lang w:eastAsia="en-US"/>
    </w:rPr>
  </w:style>
  <w:style w:type="paragraph" w:styleId="Ttulo3">
    <w:name w:val="heading 3"/>
    <w:basedOn w:val="Normal"/>
    <w:link w:val="Ttulo3Car"/>
    <w:uiPriority w:val="9"/>
    <w:qFormat/>
    <w:rsid w:val="00D52EA2"/>
    <w:pPr>
      <w:spacing w:before="100" w:beforeAutospacing="1" w:after="100" w:afterAutospacing="1"/>
      <w:jc w:val="left"/>
      <w:outlineLvl w:val="2"/>
    </w:pPr>
    <w:rPr>
      <w:rFonts w:ascii="Times New Roman" w:eastAsia="Times New Roman" w:hAnsi="Times New Roman"/>
      <w:b/>
      <w:bCs/>
      <w:color w:val="auto"/>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link w:val="Piedepgina"/>
    <w:qFormat/>
    <w:rsid w:val="004E1C75"/>
    <w:rPr>
      <w:rFonts w:ascii="Calibri" w:eastAsia="Calibri" w:hAnsi="Calibri" w:cs="Times New Roman"/>
      <w:lang w:eastAsia="es-ES"/>
    </w:rPr>
  </w:style>
  <w:style w:type="character" w:styleId="Refdenotaalpie">
    <w:name w:val="footnote reference"/>
    <w:qFormat/>
    <w:rsid w:val="004E1C75"/>
    <w:rPr>
      <w:rFonts w:cs="Times New Roman"/>
      <w:vertAlign w:val="superscript"/>
    </w:rPr>
  </w:style>
  <w:style w:type="character" w:customStyle="1" w:styleId="EncabezadoCar">
    <w:name w:val="Encabezado Car"/>
    <w:link w:val="Encabezado"/>
    <w:qFormat/>
    <w:rsid w:val="004E1C75"/>
    <w:rPr>
      <w:rFonts w:ascii="Calibri" w:eastAsia="Calibri" w:hAnsi="Calibri" w:cs="Times New Roman"/>
      <w:lang w:eastAsia="es-ES"/>
    </w:rPr>
  </w:style>
  <w:style w:type="character" w:customStyle="1" w:styleId="TextonotapieCar">
    <w:name w:val="Texto nota pie Car"/>
    <w:link w:val="Textonotapie"/>
    <w:qFormat/>
    <w:rsid w:val="004E1C75"/>
    <w:rPr>
      <w:rFonts w:ascii="Calibri" w:eastAsia="Calibri" w:hAnsi="Calibri" w:cs="Times New Roman"/>
      <w:sz w:val="20"/>
      <w:szCs w:val="20"/>
      <w:lang w:eastAsia="es-ES"/>
    </w:rPr>
  </w:style>
  <w:style w:type="character" w:customStyle="1" w:styleId="EnlacedeInternet">
    <w:name w:val="Enlace de Internet"/>
    <w:rsid w:val="004E1C75"/>
    <w:rPr>
      <w:rFonts w:cs="Times New Roman"/>
      <w:color w:val="0000FF"/>
      <w:u w:val="single"/>
    </w:rPr>
  </w:style>
  <w:style w:type="character" w:styleId="Refdecomentario">
    <w:name w:val="annotation reference"/>
    <w:qFormat/>
    <w:rsid w:val="004E1C75"/>
    <w:rPr>
      <w:sz w:val="18"/>
      <w:szCs w:val="18"/>
    </w:rPr>
  </w:style>
  <w:style w:type="character" w:customStyle="1" w:styleId="TextocomentarioCar">
    <w:name w:val="Texto comentario Car"/>
    <w:link w:val="Textocomentario"/>
    <w:qFormat/>
    <w:rsid w:val="004E1C75"/>
    <w:rPr>
      <w:rFonts w:ascii="Calibri" w:eastAsia="Calibri" w:hAnsi="Calibri" w:cs="Times New Roman"/>
      <w:sz w:val="24"/>
      <w:szCs w:val="24"/>
      <w:lang w:eastAsia="es-ES"/>
    </w:rPr>
  </w:style>
  <w:style w:type="character" w:customStyle="1" w:styleId="SangradetextonormalCar">
    <w:name w:val="Sangría de texto normal Car"/>
    <w:link w:val="Sangradetextonormal"/>
    <w:qFormat/>
    <w:rsid w:val="004E1C75"/>
    <w:rPr>
      <w:rFonts w:ascii="Times New Roman" w:eastAsia="Times New Roman" w:hAnsi="Times New Roman" w:cs="Times New Roman"/>
      <w:sz w:val="24"/>
      <w:szCs w:val="24"/>
      <w:lang w:eastAsia="es-ES"/>
    </w:rPr>
  </w:style>
  <w:style w:type="character" w:customStyle="1" w:styleId="TextodegloboCar">
    <w:name w:val="Texto de globo Car"/>
    <w:link w:val="Textodeglobo"/>
    <w:uiPriority w:val="99"/>
    <w:semiHidden/>
    <w:qFormat/>
    <w:rsid w:val="004E1C75"/>
    <w:rPr>
      <w:rFonts w:ascii="Tahoma" w:eastAsia="Calibri" w:hAnsi="Tahoma" w:cs="Tahoma"/>
      <w:sz w:val="16"/>
      <w:szCs w:val="16"/>
      <w:lang w:eastAsia="es-ES"/>
    </w:rPr>
  </w:style>
  <w:style w:type="character" w:styleId="Hipervnculovisitado">
    <w:name w:val="FollowedHyperlink"/>
    <w:basedOn w:val="Fuentedeprrafopredeter"/>
    <w:uiPriority w:val="99"/>
    <w:semiHidden/>
    <w:unhideWhenUsed/>
    <w:qFormat/>
    <w:rsid w:val="004E0484"/>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visitado">
    <w:name w:val="Enlace de Internet visitado"/>
    <w:rPr>
      <w:color w:val="800000"/>
      <w:u w:val="single"/>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link w:val="TtuloCar"/>
    <w:uiPriority w:val="10"/>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pPr>
      <w:spacing w:after="140" w:line="288" w:lineRule="auto"/>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iedepgina">
    <w:name w:val="footer"/>
    <w:basedOn w:val="Normal"/>
    <w:link w:val="PiedepginaCar"/>
    <w:rsid w:val="004E1C75"/>
    <w:pPr>
      <w:tabs>
        <w:tab w:val="center" w:pos="4252"/>
        <w:tab w:val="right" w:pos="8504"/>
      </w:tabs>
    </w:pPr>
    <w:rPr>
      <w:sz w:val="20"/>
      <w:szCs w:val="20"/>
      <w:lang w:val="x-none"/>
    </w:rPr>
  </w:style>
  <w:style w:type="paragraph" w:styleId="Encabezado">
    <w:name w:val="header"/>
    <w:basedOn w:val="Normal"/>
    <w:link w:val="EncabezadoCar"/>
    <w:rsid w:val="004E1C75"/>
    <w:pPr>
      <w:tabs>
        <w:tab w:val="center" w:pos="4252"/>
        <w:tab w:val="right" w:pos="8504"/>
      </w:tabs>
    </w:pPr>
    <w:rPr>
      <w:sz w:val="20"/>
      <w:szCs w:val="20"/>
      <w:lang w:val="x-none"/>
    </w:rPr>
  </w:style>
  <w:style w:type="paragraph" w:styleId="Textonotapie">
    <w:name w:val="footnote text"/>
    <w:basedOn w:val="Normal"/>
    <w:link w:val="TextonotapieCar"/>
  </w:style>
  <w:style w:type="paragraph" w:styleId="Textocomentario">
    <w:name w:val="annotation text"/>
    <w:basedOn w:val="Normal"/>
    <w:link w:val="TextocomentarioCar"/>
    <w:qFormat/>
    <w:rsid w:val="004E1C75"/>
    <w:rPr>
      <w:sz w:val="24"/>
      <w:szCs w:val="24"/>
      <w:lang w:val="x-none"/>
    </w:rPr>
  </w:style>
  <w:style w:type="paragraph" w:styleId="Sangradetextonormal">
    <w:name w:val="Body Text Indent"/>
    <w:basedOn w:val="Normal"/>
    <w:link w:val="SangradetextonormalCar"/>
    <w:rsid w:val="004E1C75"/>
    <w:pPr>
      <w:spacing w:after="0"/>
      <w:ind w:firstLine="567"/>
      <w:jc w:val="both"/>
    </w:pPr>
    <w:rPr>
      <w:rFonts w:ascii="Times New Roman" w:eastAsia="Times New Roman" w:hAnsi="Times New Roman"/>
      <w:sz w:val="24"/>
      <w:szCs w:val="24"/>
      <w:lang w:val="x-none"/>
    </w:rPr>
  </w:style>
  <w:style w:type="paragraph" w:styleId="Textodeglobo">
    <w:name w:val="Balloon Text"/>
    <w:basedOn w:val="Normal"/>
    <w:link w:val="TextodegloboCar"/>
    <w:uiPriority w:val="99"/>
    <w:semiHidden/>
    <w:unhideWhenUsed/>
    <w:qFormat/>
    <w:rsid w:val="004E1C75"/>
    <w:pPr>
      <w:spacing w:after="0"/>
    </w:pPr>
    <w:rPr>
      <w:rFonts w:ascii="Tahoma" w:hAnsi="Tahoma"/>
      <w:sz w:val="16"/>
      <w:szCs w:val="16"/>
      <w:lang w:val="x-none"/>
    </w:rPr>
  </w:style>
  <w:style w:type="paragraph" w:customStyle="1" w:styleId="Contenidodelatabla">
    <w:name w:val="Contenido de la tabla"/>
    <w:basedOn w:val="Normal"/>
    <w:qFormat/>
  </w:style>
  <w:style w:type="paragraph" w:customStyle="1" w:styleId="Contenidodelista">
    <w:name w:val="Contenido de lista"/>
    <w:basedOn w:val="Normal"/>
    <w:qFormat/>
  </w:style>
  <w:style w:type="character" w:styleId="Hipervnculo">
    <w:name w:val="Hyperlink"/>
    <w:rsid w:val="00A77FAF"/>
    <w:rPr>
      <w:color w:val="0000FF"/>
      <w:u w:val="single"/>
    </w:rPr>
  </w:style>
  <w:style w:type="character" w:customStyle="1" w:styleId="Ttulo2Car">
    <w:name w:val="Título 2 Car"/>
    <w:basedOn w:val="Fuentedeprrafopredeter"/>
    <w:link w:val="Ttulo2"/>
    <w:uiPriority w:val="9"/>
    <w:rsid w:val="004D0B0F"/>
    <w:rPr>
      <w:rFonts w:ascii="Cambria" w:eastAsia="MS Gothic" w:hAnsi="Cambria"/>
      <w:b/>
      <w:bCs/>
      <w:color w:val="4F81BD"/>
      <w:sz w:val="26"/>
      <w:szCs w:val="26"/>
      <w:lang w:val="es-ES" w:eastAsia="en-US"/>
    </w:rPr>
  </w:style>
  <w:style w:type="paragraph" w:styleId="Prrafodelista">
    <w:name w:val="List Paragraph"/>
    <w:basedOn w:val="Normal"/>
    <w:qFormat/>
    <w:rsid w:val="00B54AF0"/>
    <w:pPr>
      <w:ind w:left="720"/>
      <w:contextualSpacing/>
    </w:pPr>
  </w:style>
  <w:style w:type="character" w:customStyle="1" w:styleId="label">
    <w:name w:val="label"/>
    <w:basedOn w:val="Fuentedeprrafopredeter"/>
    <w:rsid w:val="00D84B34"/>
  </w:style>
  <w:style w:type="character" w:styleId="Textoennegrita">
    <w:name w:val="Strong"/>
    <w:uiPriority w:val="22"/>
    <w:qFormat/>
    <w:rsid w:val="007162EB"/>
    <w:rPr>
      <w:b/>
      <w:bCs/>
    </w:rPr>
  </w:style>
  <w:style w:type="table" w:styleId="Tablaconcuadrcula">
    <w:name w:val="Table Grid"/>
    <w:basedOn w:val="Tablanormal"/>
    <w:uiPriority w:val="59"/>
    <w:rsid w:val="00D1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530F"/>
    <w:pPr>
      <w:spacing w:before="100" w:beforeAutospacing="1" w:after="100" w:afterAutospacing="1"/>
      <w:jc w:val="left"/>
    </w:pPr>
    <w:rPr>
      <w:rFonts w:ascii="Times New Roman" w:eastAsia="Times New Roman" w:hAnsi="Times New Roman"/>
      <w:color w:val="auto"/>
      <w:sz w:val="24"/>
      <w:szCs w:val="24"/>
    </w:rPr>
  </w:style>
  <w:style w:type="paragraph" w:customStyle="1" w:styleId="textodef">
    <w:name w:val="textodef"/>
    <w:basedOn w:val="Normal"/>
    <w:qFormat/>
    <w:rsid w:val="00FC4072"/>
    <w:pPr>
      <w:widowControl w:val="0"/>
      <w:tabs>
        <w:tab w:val="left" w:pos="510"/>
        <w:tab w:val="left" w:pos="1020"/>
      </w:tabs>
      <w:autoSpaceDE w:val="0"/>
      <w:autoSpaceDN w:val="0"/>
      <w:adjustRightInd w:val="0"/>
      <w:spacing w:after="0" w:line="260" w:lineRule="atLeast"/>
      <w:ind w:firstLine="510"/>
      <w:jc w:val="both"/>
      <w:textAlignment w:val="center"/>
    </w:pPr>
    <w:rPr>
      <w:rFonts w:ascii="NewCenturySchlbk-Roman" w:eastAsia="Times New Roman" w:hAnsi="NewCenturySchlbk-Roman" w:cs="NewCenturySchlbk-Roman"/>
      <w:color w:val="000000"/>
      <w:szCs w:val="24"/>
      <w:lang w:val="es-ES_tradnl" w:eastAsia="es-ES_tradnl"/>
    </w:rPr>
  </w:style>
  <w:style w:type="paragraph" w:customStyle="1" w:styleId="LO-Normal">
    <w:name w:val="LO-Normal"/>
    <w:qFormat/>
    <w:rsid w:val="0050630F"/>
    <w:pPr>
      <w:suppressAutoHyphens/>
      <w:spacing w:after="160" w:line="256" w:lineRule="auto"/>
    </w:pPr>
    <w:rPr>
      <w:sz w:val="22"/>
      <w:szCs w:val="22"/>
      <w:lang w:val="es-ES" w:eastAsia="en-US"/>
    </w:rPr>
  </w:style>
  <w:style w:type="character" w:customStyle="1" w:styleId="TextoindependienteCar">
    <w:name w:val="Texto independiente Car"/>
    <w:link w:val="Textoindependiente"/>
    <w:uiPriority w:val="99"/>
    <w:rsid w:val="0050630F"/>
    <w:rPr>
      <w:color w:val="00000A"/>
      <w:sz w:val="22"/>
      <w:szCs w:val="22"/>
      <w:lang w:val="es-ES"/>
    </w:rPr>
  </w:style>
  <w:style w:type="character" w:customStyle="1" w:styleId="Ttulo3Car">
    <w:name w:val="Título 3 Car"/>
    <w:basedOn w:val="Fuentedeprrafopredeter"/>
    <w:link w:val="Ttulo3"/>
    <w:uiPriority w:val="9"/>
    <w:rsid w:val="00D52EA2"/>
    <w:rPr>
      <w:rFonts w:ascii="Times New Roman" w:eastAsia="Times New Roman" w:hAnsi="Times New Roman"/>
      <w:b/>
      <w:bCs/>
      <w:sz w:val="27"/>
      <w:szCs w:val="27"/>
      <w:lang w:val="es-ES"/>
    </w:rPr>
  </w:style>
  <w:style w:type="character" w:customStyle="1" w:styleId="TtuloCar">
    <w:name w:val="Título Car"/>
    <w:link w:val="Ttulo"/>
    <w:uiPriority w:val="10"/>
    <w:rsid w:val="00D52EA2"/>
    <w:rPr>
      <w:rFonts w:ascii="Liberation Sans" w:eastAsia="Microsoft YaHei" w:hAnsi="Liberation Sans" w:cs="Lucida Sans"/>
      <w:color w:val="00000A"/>
      <w:sz w:val="28"/>
      <w:szCs w:val="28"/>
      <w:lang w:val="es-ES"/>
    </w:rPr>
  </w:style>
  <w:style w:type="paragraph" w:customStyle="1" w:styleId="TextogeneralINDEXconsangra">
    <w:name w:val="Texto general INDEX con sangría"/>
    <w:basedOn w:val="Normal"/>
    <w:qFormat/>
    <w:rsid w:val="00D52EA2"/>
    <w:pPr>
      <w:spacing w:before="20" w:after="0"/>
      <w:ind w:firstLine="567"/>
      <w:jc w:val="both"/>
    </w:pPr>
    <w:rPr>
      <w:rFonts w:ascii="Cambria" w:eastAsia="Times New Roman" w:hAnsi="Cambria"/>
      <w:color w:val="auto"/>
      <w:lang w:eastAsia="es-ES_tradnl"/>
    </w:rPr>
  </w:style>
  <w:style w:type="character" w:customStyle="1" w:styleId="UnresolvedMention">
    <w:name w:val="Unresolved Mention"/>
    <w:uiPriority w:val="99"/>
    <w:semiHidden/>
    <w:unhideWhenUsed/>
    <w:rsid w:val="00D52EA2"/>
    <w:rPr>
      <w:color w:val="605E5C"/>
      <w:shd w:val="clear" w:color="auto" w:fill="E1DFDD"/>
    </w:rPr>
  </w:style>
  <w:style w:type="character" w:customStyle="1" w:styleId="affiliation">
    <w:name w:val="affiliation"/>
    <w:basedOn w:val="Fuentedeprrafopredeter"/>
    <w:rsid w:val="00D52EA2"/>
  </w:style>
  <w:style w:type="character" w:styleId="Refdenotaalfinal">
    <w:name w:val="endnote reference"/>
    <w:uiPriority w:val="99"/>
    <w:semiHidden/>
    <w:unhideWhenUsed/>
    <w:rsid w:val="00D52EA2"/>
    <w:rPr>
      <w:vertAlign w:val="superscript"/>
    </w:rPr>
  </w:style>
  <w:style w:type="paragraph" w:styleId="Asuntodelcomentario">
    <w:name w:val="annotation subject"/>
    <w:basedOn w:val="Textocomentario"/>
    <w:next w:val="Textocomentario"/>
    <w:link w:val="AsuntodelcomentarioCar"/>
    <w:uiPriority w:val="99"/>
    <w:semiHidden/>
    <w:unhideWhenUsed/>
    <w:rsid w:val="00D52EA2"/>
    <w:pPr>
      <w:spacing w:line="276" w:lineRule="auto"/>
      <w:jc w:val="left"/>
    </w:pPr>
    <w:rPr>
      <w:b/>
      <w:bCs/>
      <w:color w:val="auto"/>
      <w:sz w:val="20"/>
      <w:szCs w:val="20"/>
      <w:lang w:val="es-ES"/>
    </w:rPr>
  </w:style>
  <w:style w:type="character" w:customStyle="1" w:styleId="AsuntodelcomentarioCar">
    <w:name w:val="Asunto del comentario Car"/>
    <w:basedOn w:val="TextocomentarioCar"/>
    <w:link w:val="Asuntodelcomentario"/>
    <w:uiPriority w:val="99"/>
    <w:semiHidden/>
    <w:rsid w:val="00D52EA2"/>
    <w:rPr>
      <w:rFonts w:ascii="Calibri" w:eastAsia="Calibri" w:hAnsi="Calibri" w:cs="Times New Roman"/>
      <w:b/>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D7"/>
    <w:pPr>
      <w:spacing w:after="200"/>
      <w:jc w:val="center"/>
    </w:pPr>
    <w:rPr>
      <w:color w:val="00000A"/>
      <w:sz w:val="22"/>
      <w:szCs w:val="22"/>
      <w:lang w:val="es-ES"/>
    </w:rPr>
  </w:style>
  <w:style w:type="paragraph" w:styleId="Ttulo2">
    <w:name w:val="heading 2"/>
    <w:basedOn w:val="Normal"/>
    <w:next w:val="Normal"/>
    <w:link w:val="Ttulo2Car"/>
    <w:uiPriority w:val="9"/>
    <w:qFormat/>
    <w:rsid w:val="004D0B0F"/>
    <w:pPr>
      <w:keepNext/>
      <w:keepLines/>
      <w:spacing w:before="200" w:after="0" w:line="276" w:lineRule="auto"/>
      <w:jc w:val="left"/>
      <w:outlineLvl w:val="1"/>
    </w:pPr>
    <w:rPr>
      <w:rFonts w:ascii="Cambria" w:eastAsia="MS Gothic" w:hAnsi="Cambria"/>
      <w:b/>
      <w:bCs/>
      <w:color w:val="4F81BD"/>
      <w:sz w:val="26"/>
      <w:szCs w:val="26"/>
      <w:lang w:eastAsia="en-US"/>
    </w:rPr>
  </w:style>
  <w:style w:type="paragraph" w:styleId="Ttulo3">
    <w:name w:val="heading 3"/>
    <w:basedOn w:val="Normal"/>
    <w:link w:val="Ttulo3Car"/>
    <w:uiPriority w:val="9"/>
    <w:qFormat/>
    <w:rsid w:val="00D52EA2"/>
    <w:pPr>
      <w:spacing w:before="100" w:beforeAutospacing="1" w:after="100" w:afterAutospacing="1"/>
      <w:jc w:val="left"/>
      <w:outlineLvl w:val="2"/>
    </w:pPr>
    <w:rPr>
      <w:rFonts w:ascii="Times New Roman" w:eastAsia="Times New Roman" w:hAnsi="Times New Roman"/>
      <w:b/>
      <w:bCs/>
      <w:color w:val="auto"/>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link w:val="Piedepgina"/>
    <w:qFormat/>
    <w:rsid w:val="004E1C75"/>
    <w:rPr>
      <w:rFonts w:ascii="Calibri" w:eastAsia="Calibri" w:hAnsi="Calibri" w:cs="Times New Roman"/>
      <w:lang w:eastAsia="es-ES"/>
    </w:rPr>
  </w:style>
  <w:style w:type="character" w:styleId="Refdenotaalpie">
    <w:name w:val="footnote reference"/>
    <w:qFormat/>
    <w:rsid w:val="004E1C75"/>
    <w:rPr>
      <w:rFonts w:cs="Times New Roman"/>
      <w:vertAlign w:val="superscript"/>
    </w:rPr>
  </w:style>
  <w:style w:type="character" w:customStyle="1" w:styleId="EncabezadoCar">
    <w:name w:val="Encabezado Car"/>
    <w:link w:val="Encabezado"/>
    <w:qFormat/>
    <w:rsid w:val="004E1C75"/>
    <w:rPr>
      <w:rFonts w:ascii="Calibri" w:eastAsia="Calibri" w:hAnsi="Calibri" w:cs="Times New Roman"/>
      <w:lang w:eastAsia="es-ES"/>
    </w:rPr>
  </w:style>
  <w:style w:type="character" w:customStyle="1" w:styleId="TextonotapieCar">
    <w:name w:val="Texto nota pie Car"/>
    <w:link w:val="Textonotapie"/>
    <w:qFormat/>
    <w:rsid w:val="004E1C75"/>
    <w:rPr>
      <w:rFonts w:ascii="Calibri" w:eastAsia="Calibri" w:hAnsi="Calibri" w:cs="Times New Roman"/>
      <w:sz w:val="20"/>
      <w:szCs w:val="20"/>
      <w:lang w:eastAsia="es-ES"/>
    </w:rPr>
  </w:style>
  <w:style w:type="character" w:customStyle="1" w:styleId="EnlacedeInternet">
    <w:name w:val="Enlace de Internet"/>
    <w:rsid w:val="004E1C75"/>
    <w:rPr>
      <w:rFonts w:cs="Times New Roman"/>
      <w:color w:val="0000FF"/>
      <w:u w:val="single"/>
    </w:rPr>
  </w:style>
  <w:style w:type="character" w:styleId="Refdecomentario">
    <w:name w:val="annotation reference"/>
    <w:qFormat/>
    <w:rsid w:val="004E1C75"/>
    <w:rPr>
      <w:sz w:val="18"/>
      <w:szCs w:val="18"/>
    </w:rPr>
  </w:style>
  <w:style w:type="character" w:customStyle="1" w:styleId="TextocomentarioCar">
    <w:name w:val="Texto comentario Car"/>
    <w:link w:val="Textocomentario"/>
    <w:qFormat/>
    <w:rsid w:val="004E1C75"/>
    <w:rPr>
      <w:rFonts w:ascii="Calibri" w:eastAsia="Calibri" w:hAnsi="Calibri" w:cs="Times New Roman"/>
      <w:sz w:val="24"/>
      <w:szCs w:val="24"/>
      <w:lang w:eastAsia="es-ES"/>
    </w:rPr>
  </w:style>
  <w:style w:type="character" w:customStyle="1" w:styleId="SangradetextonormalCar">
    <w:name w:val="Sangría de texto normal Car"/>
    <w:link w:val="Sangradetextonormal"/>
    <w:qFormat/>
    <w:rsid w:val="004E1C75"/>
    <w:rPr>
      <w:rFonts w:ascii="Times New Roman" w:eastAsia="Times New Roman" w:hAnsi="Times New Roman" w:cs="Times New Roman"/>
      <w:sz w:val="24"/>
      <w:szCs w:val="24"/>
      <w:lang w:eastAsia="es-ES"/>
    </w:rPr>
  </w:style>
  <w:style w:type="character" w:customStyle="1" w:styleId="TextodegloboCar">
    <w:name w:val="Texto de globo Car"/>
    <w:link w:val="Textodeglobo"/>
    <w:uiPriority w:val="99"/>
    <w:semiHidden/>
    <w:qFormat/>
    <w:rsid w:val="004E1C75"/>
    <w:rPr>
      <w:rFonts w:ascii="Tahoma" w:eastAsia="Calibri" w:hAnsi="Tahoma" w:cs="Tahoma"/>
      <w:sz w:val="16"/>
      <w:szCs w:val="16"/>
      <w:lang w:eastAsia="es-ES"/>
    </w:rPr>
  </w:style>
  <w:style w:type="character" w:styleId="Hipervnculovisitado">
    <w:name w:val="FollowedHyperlink"/>
    <w:basedOn w:val="Fuentedeprrafopredeter"/>
    <w:uiPriority w:val="99"/>
    <w:semiHidden/>
    <w:unhideWhenUsed/>
    <w:qFormat/>
    <w:rsid w:val="004E0484"/>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visitado">
    <w:name w:val="Enlace de Internet visitado"/>
    <w:rPr>
      <w:color w:val="800000"/>
      <w:u w:val="single"/>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link w:val="TtuloCar"/>
    <w:uiPriority w:val="10"/>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pPr>
      <w:spacing w:after="140" w:line="288" w:lineRule="auto"/>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iedepgina">
    <w:name w:val="footer"/>
    <w:basedOn w:val="Normal"/>
    <w:link w:val="PiedepginaCar"/>
    <w:rsid w:val="004E1C75"/>
    <w:pPr>
      <w:tabs>
        <w:tab w:val="center" w:pos="4252"/>
        <w:tab w:val="right" w:pos="8504"/>
      </w:tabs>
    </w:pPr>
    <w:rPr>
      <w:sz w:val="20"/>
      <w:szCs w:val="20"/>
      <w:lang w:val="x-none"/>
    </w:rPr>
  </w:style>
  <w:style w:type="paragraph" w:styleId="Encabezado">
    <w:name w:val="header"/>
    <w:basedOn w:val="Normal"/>
    <w:link w:val="EncabezadoCar"/>
    <w:rsid w:val="004E1C75"/>
    <w:pPr>
      <w:tabs>
        <w:tab w:val="center" w:pos="4252"/>
        <w:tab w:val="right" w:pos="8504"/>
      </w:tabs>
    </w:pPr>
    <w:rPr>
      <w:sz w:val="20"/>
      <w:szCs w:val="20"/>
      <w:lang w:val="x-none"/>
    </w:rPr>
  </w:style>
  <w:style w:type="paragraph" w:styleId="Textonotapie">
    <w:name w:val="footnote text"/>
    <w:basedOn w:val="Normal"/>
    <w:link w:val="TextonotapieCar"/>
  </w:style>
  <w:style w:type="paragraph" w:styleId="Textocomentario">
    <w:name w:val="annotation text"/>
    <w:basedOn w:val="Normal"/>
    <w:link w:val="TextocomentarioCar"/>
    <w:qFormat/>
    <w:rsid w:val="004E1C75"/>
    <w:rPr>
      <w:sz w:val="24"/>
      <w:szCs w:val="24"/>
      <w:lang w:val="x-none"/>
    </w:rPr>
  </w:style>
  <w:style w:type="paragraph" w:styleId="Sangradetextonormal">
    <w:name w:val="Body Text Indent"/>
    <w:basedOn w:val="Normal"/>
    <w:link w:val="SangradetextonormalCar"/>
    <w:rsid w:val="004E1C75"/>
    <w:pPr>
      <w:spacing w:after="0"/>
      <w:ind w:firstLine="567"/>
      <w:jc w:val="both"/>
    </w:pPr>
    <w:rPr>
      <w:rFonts w:ascii="Times New Roman" w:eastAsia="Times New Roman" w:hAnsi="Times New Roman"/>
      <w:sz w:val="24"/>
      <w:szCs w:val="24"/>
      <w:lang w:val="x-none"/>
    </w:rPr>
  </w:style>
  <w:style w:type="paragraph" w:styleId="Textodeglobo">
    <w:name w:val="Balloon Text"/>
    <w:basedOn w:val="Normal"/>
    <w:link w:val="TextodegloboCar"/>
    <w:uiPriority w:val="99"/>
    <w:semiHidden/>
    <w:unhideWhenUsed/>
    <w:qFormat/>
    <w:rsid w:val="004E1C75"/>
    <w:pPr>
      <w:spacing w:after="0"/>
    </w:pPr>
    <w:rPr>
      <w:rFonts w:ascii="Tahoma" w:hAnsi="Tahoma"/>
      <w:sz w:val="16"/>
      <w:szCs w:val="16"/>
      <w:lang w:val="x-none"/>
    </w:rPr>
  </w:style>
  <w:style w:type="paragraph" w:customStyle="1" w:styleId="Contenidodelatabla">
    <w:name w:val="Contenido de la tabla"/>
    <w:basedOn w:val="Normal"/>
    <w:qFormat/>
  </w:style>
  <w:style w:type="paragraph" w:customStyle="1" w:styleId="Contenidodelista">
    <w:name w:val="Contenido de lista"/>
    <w:basedOn w:val="Normal"/>
    <w:qFormat/>
  </w:style>
  <w:style w:type="character" w:styleId="Hipervnculo">
    <w:name w:val="Hyperlink"/>
    <w:rsid w:val="00A77FAF"/>
    <w:rPr>
      <w:color w:val="0000FF"/>
      <w:u w:val="single"/>
    </w:rPr>
  </w:style>
  <w:style w:type="character" w:customStyle="1" w:styleId="Ttulo2Car">
    <w:name w:val="Título 2 Car"/>
    <w:basedOn w:val="Fuentedeprrafopredeter"/>
    <w:link w:val="Ttulo2"/>
    <w:uiPriority w:val="9"/>
    <w:rsid w:val="004D0B0F"/>
    <w:rPr>
      <w:rFonts w:ascii="Cambria" w:eastAsia="MS Gothic" w:hAnsi="Cambria"/>
      <w:b/>
      <w:bCs/>
      <w:color w:val="4F81BD"/>
      <w:sz w:val="26"/>
      <w:szCs w:val="26"/>
      <w:lang w:val="es-ES" w:eastAsia="en-US"/>
    </w:rPr>
  </w:style>
  <w:style w:type="paragraph" w:styleId="Prrafodelista">
    <w:name w:val="List Paragraph"/>
    <w:basedOn w:val="Normal"/>
    <w:qFormat/>
    <w:rsid w:val="00B54AF0"/>
    <w:pPr>
      <w:ind w:left="720"/>
      <w:contextualSpacing/>
    </w:pPr>
  </w:style>
  <w:style w:type="character" w:customStyle="1" w:styleId="label">
    <w:name w:val="label"/>
    <w:basedOn w:val="Fuentedeprrafopredeter"/>
    <w:rsid w:val="00D84B34"/>
  </w:style>
  <w:style w:type="character" w:styleId="Textoennegrita">
    <w:name w:val="Strong"/>
    <w:uiPriority w:val="22"/>
    <w:qFormat/>
    <w:rsid w:val="007162EB"/>
    <w:rPr>
      <w:b/>
      <w:bCs/>
    </w:rPr>
  </w:style>
  <w:style w:type="table" w:styleId="Tablaconcuadrcula">
    <w:name w:val="Table Grid"/>
    <w:basedOn w:val="Tablanormal"/>
    <w:uiPriority w:val="59"/>
    <w:rsid w:val="00D1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530F"/>
    <w:pPr>
      <w:spacing w:before="100" w:beforeAutospacing="1" w:after="100" w:afterAutospacing="1"/>
      <w:jc w:val="left"/>
    </w:pPr>
    <w:rPr>
      <w:rFonts w:ascii="Times New Roman" w:eastAsia="Times New Roman" w:hAnsi="Times New Roman"/>
      <w:color w:val="auto"/>
      <w:sz w:val="24"/>
      <w:szCs w:val="24"/>
    </w:rPr>
  </w:style>
  <w:style w:type="paragraph" w:customStyle="1" w:styleId="textodef">
    <w:name w:val="textodef"/>
    <w:basedOn w:val="Normal"/>
    <w:qFormat/>
    <w:rsid w:val="00FC4072"/>
    <w:pPr>
      <w:widowControl w:val="0"/>
      <w:tabs>
        <w:tab w:val="left" w:pos="510"/>
        <w:tab w:val="left" w:pos="1020"/>
      </w:tabs>
      <w:autoSpaceDE w:val="0"/>
      <w:autoSpaceDN w:val="0"/>
      <w:adjustRightInd w:val="0"/>
      <w:spacing w:after="0" w:line="260" w:lineRule="atLeast"/>
      <w:ind w:firstLine="510"/>
      <w:jc w:val="both"/>
      <w:textAlignment w:val="center"/>
    </w:pPr>
    <w:rPr>
      <w:rFonts w:ascii="NewCenturySchlbk-Roman" w:eastAsia="Times New Roman" w:hAnsi="NewCenturySchlbk-Roman" w:cs="NewCenturySchlbk-Roman"/>
      <w:color w:val="000000"/>
      <w:szCs w:val="24"/>
      <w:lang w:val="es-ES_tradnl" w:eastAsia="es-ES_tradnl"/>
    </w:rPr>
  </w:style>
  <w:style w:type="paragraph" w:customStyle="1" w:styleId="LO-Normal">
    <w:name w:val="LO-Normal"/>
    <w:qFormat/>
    <w:rsid w:val="0050630F"/>
    <w:pPr>
      <w:suppressAutoHyphens/>
      <w:spacing w:after="160" w:line="256" w:lineRule="auto"/>
    </w:pPr>
    <w:rPr>
      <w:sz w:val="22"/>
      <w:szCs w:val="22"/>
      <w:lang w:val="es-ES" w:eastAsia="en-US"/>
    </w:rPr>
  </w:style>
  <w:style w:type="character" w:customStyle="1" w:styleId="TextoindependienteCar">
    <w:name w:val="Texto independiente Car"/>
    <w:link w:val="Textoindependiente"/>
    <w:uiPriority w:val="99"/>
    <w:rsid w:val="0050630F"/>
    <w:rPr>
      <w:color w:val="00000A"/>
      <w:sz w:val="22"/>
      <w:szCs w:val="22"/>
      <w:lang w:val="es-ES"/>
    </w:rPr>
  </w:style>
  <w:style w:type="character" w:customStyle="1" w:styleId="Ttulo3Car">
    <w:name w:val="Título 3 Car"/>
    <w:basedOn w:val="Fuentedeprrafopredeter"/>
    <w:link w:val="Ttulo3"/>
    <w:uiPriority w:val="9"/>
    <w:rsid w:val="00D52EA2"/>
    <w:rPr>
      <w:rFonts w:ascii="Times New Roman" w:eastAsia="Times New Roman" w:hAnsi="Times New Roman"/>
      <w:b/>
      <w:bCs/>
      <w:sz w:val="27"/>
      <w:szCs w:val="27"/>
      <w:lang w:val="es-ES"/>
    </w:rPr>
  </w:style>
  <w:style w:type="character" w:customStyle="1" w:styleId="TtuloCar">
    <w:name w:val="Título Car"/>
    <w:link w:val="Ttulo"/>
    <w:uiPriority w:val="10"/>
    <w:rsid w:val="00D52EA2"/>
    <w:rPr>
      <w:rFonts w:ascii="Liberation Sans" w:eastAsia="Microsoft YaHei" w:hAnsi="Liberation Sans" w:cs="Lucida Sans"/>
      <w:color w:val="00000A"/>
      <w:sz w:val="28"/>
      <w:szCs w:val="28"/>
      <w:lang w:val="es-ES"/>
    </w:rPr>
  </w:style>
  <w:style w:type="paragraph" w:customStyle="1" w:styleId="TextogeneralINDEXconsangra">
    <w:name w:val="Texto general INDEX con sangría"/>
    <w:basedOn w:val="Normal"/>
    <w:qFormat/>
    <w:rsid w:val="00D52EA2"/>
    <w:pPr>
      <w:spacing w:before="20" w:after="0"/>
      <w:ind w:firstLine="567"/>
      <w:jc w:val="both"/>
    </w:pPr>
    <w:rPr>
      <w:rFonts w:ascii="Cambria" w:eastAsia="Times New Roman" w:hAnsi="Cambria"/>
      <w:color w:val="auto"/>
      <w:lang w:eastAsia="es-ES_tradnl"/>
    </w:rPr>
  </w:style>
  <w:style w:type="character" w:customStyle="1" w:styleId="UnresolvedMention">
    <w:name w:val="Unresolved Mention"/>
    <w:uiPriority w:val="99"/>
    <w:semiHidden/>
    <w:unhideWhenUsed/>
    <w:rsid w:val="00D52EA2"/>
    <w:rPr>
      <w:color w:val="605E5C"/>
      <w:shd w:val="clear" w:color="auto" w:fill="E1DFDD"/>
    </w:rPr>
  </w:style>
  <w:style w:type="character" w:customStyle="1" w:styleId="affiliation">
    <w:name w:val="affiliation"/>
    <w:basedOn w:val="Fuentedeprrafopredeter"/>
    <w:rsid w:val="00D52EA2"/>
  </w:style>
  <w:style w:type="character" w:styleId="Refdenotaalfinal">
    <w:name w:val="endnote reference"/>
    <w:uiPriority w:val="99"/>
    <w:semiHidden/>
    <w:unhideWhenUsed/>
    <w:rsid w:val="00D52EA2"/>
    <w:rPr>
      <w:vertAlign w:val="superscript"/>
    </w:rPr>
  </w:style>
  <w:style w:type="paragraph" w:styleId="Asuntodelcomentario">
    <w:name w:val="annotation subject"/>
    <w:basedOn w:val="Textocomentario"/>
    <w:next w:val="Textocomentario"/>
    <w:link w:val="AsuntodelcomentarioCar"/>
    <w:uiPriority w:val="99"/>
    <w:semiHidden/>
    <w:unhideWhenUsed/>
    <w:rsid w:val="00D52EA2"/>
    <w:pPr>
      <w:spacing w:line="276" w:lineRule="auto"/>
      <w:jc w:val="left"/>
    </w:pPr>
    <w:rPr>
      <w:b/>
      <w:bCs/>
      <w:color w:val="auto"/>
      <w:sz w:val="20"/>
      <w:szCs w:val="20"/>
      <w:lang w:val="es-ES"/>
    </w:rPr>
  </w:style>
  <w:style w:type="character" w:customStyle="1" w:styleId="AsuntodelcomentarioCar">
    <w:name w:val="Asunto del comentario Car"/>
    <w:basedOn w:val="TextocomentarioCar"/>
    <w:link w:val="Asuntodelcomentario"/>
    <w:uiPriority w:val="99"/>
    <w:semiHidden/>
    <w:rsid w:val="00D52EA2"/>
    <w:rPr>
      <w:rFonts w:ascii="Calibri" w:eastAsia="Calibri" w:hAnsi="Calibri" w:cs="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7110">
      <w:bodyDiv w:val="1"/>
      <w:marLeft w:val="0"/>
      <w:marRight w:val="0"/>
      <w:marTop w:val="0"/>
      <w:marBottom w:val="0"/>
      <w:divBdr>
        <w:top w:val="none" w:sz="0" w:space="0" w:color="auto"/>
        <w:left w:val="none" w:sz="0" w:space="0" w:color="auto"/>
        <w:bottom w:val="none" w:sz="0" w:space="0" w:color="auto"/>
        <w:right w:val="none" w:sz="0" w:space="0" w:color="auto"/>
      </w:divBdr>
    </w:div>
    <w:div w:id="952518550">
      <w:bodyDiv w:val="1"/>
      <w:marLeft w:val="0"/>
      <w:marRight w:val="0"/>
      <w:marTop w:val="0"/>
      <w:marBottom w:val="0"/>
      <w:divBdr>
        <w:top w:val="none" w:sz="0" w:space="0" w:color="auto"/>
        <w:left w:val="none" w:sz="0" w:space="0" w:color="auto"/>
        <w:bottom w:val="none" w:sz="0" w:space="0" w:color="auto"/>
        <w:right w:val="none" w:sz="0" w:space="0" w:color="auto"/>
      </w:divBdr>
    </w:div>
    <w:div w:id="1188325420">
      <w:bodyDiv w:val="1"/>
      <w:marLeft w:val="0"/>
      <w:marRight w:val="0"/>
      <w:marTop w:val="0"/>
      <w:marBottom w:val="0"/>
      <w:divBdr>
        <w:top w:val="none" w:sz="0" w:space="0" w:color="auto"/>
        <w:left w:val="none" w:sz="0" w:space="0" w:color="auto"/>
        <w:bottom w:val="none" w:sz="0" w:space="0" w:color="auto"/>
        <w:right w:val="none" w:sz="0" w:space="0" w:color="auto"/>
      </w:divBdr>
    </w:div>
    <w:div w:id="1354573405">
      <w:bodyDiv w:val="1"/>
      <w:marLeft w:val="0"/>
      <w:marRight w:val="0"/>
      <w:marTop w:val="0"/>
      <w:marBottom w:val="0"/>
      <w:divBdr>
        <w:top w:val="none" w:sz="0" w:space="0" w:color="auto"/>
        <w:left w:val="none" w:sz="0" w:space="0" w:color="auto"/>
        <w:bottom w:val="none" w:sz="0" w:space="0" w:color="auto"/>
        <w:right w:val="none" w:sz="0" w:space="0" w:color="auto"/>
      </w:divBdr>
    </w:div>
    <w:div w:id="167224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es/citations?hl=es&amp;user=O9-_0goAAAAJ" TargetMode="External"/><Relationship Id="rId18" Type="http://schemas.openxmlformats.org/officeDocument/2006/relationships/hyperlink" Target="https://scholar.google.es/citations?user=jUHzsfIAAAAJ&amp;hl=es" TargetMode="External"/><Relationship Id="rId26" Type="http://schemas.openxmlformats.org/officeDocument/2006/relationships/image" Target="media/image6.emf"/><Relationship Id="rId39" Type="http://schemas.openxmlformats.org/officeDocument/2006/relationships/hyperlink" Target="https://doi.org/10.6035/2174-0992.2019.18.11" TargetMode="External"/><Relationship Id="rId21" Type="http://schemas.openxmlformats.org/officeDocument/2006/relationships/hyperlink" Target="https://scholar.google.es/citations?user=wVd-AnwAAAAJ&amp;hl=es" TargetMode="External"/><Relationship Id="rId34" Type="http://schemas.openxmlformats.org/officeDocument/2006/relationships/hyperlink" Target="https://doi.org/https://doi.org/10.31207/rch.v9i2.172" TargetMode="External"/><Relationship Id="rId42" Type="http://schemas.openxmlformats.org/officeDocument/2006/relationships/hyperlink" Target="https://doi.org/10.5209/rev_MESO.2009.n5.22324" TargetMode="External"/><Relationship Id="rId47" Type="http://schemas.openxmlformats.org/officeDocument/2006/relationships/hyperlink" Target="https://doi.org/10.4185/RLCS-2017-1187" TargetMode="External"/><Relationship Id="rId50" Type="http://schemas.openxmlformats.org/officeDocument/2006/relationships/hyperlink" Target="https://cvnet.cpd.ua.es/curriculum-breve/grp/es/marketing-experiencial-eventos-y-comunicacion-integrada-(mae-co)/688" TargetMode="External"/><Relationship Id="rId55" Type="http://schemas.openxmlformats.org/officeDocument/2006/relationships/hyperlink" Target="https://scholar.google.es/citations?hl=es&amp;user=O9-_0goAAAAJ" TargetMode="External"/><Relationship Id="rId63" Type="http://schemas.openxmlformats.org/officeDocument/2006/relationships/hyperlink" Target="https://scholar.google.es/citations?user=wVd-AnwAAAAJ&amp;hl=es"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rcid.org/0000-0001-9913-3353" TargetMode="External"/><Relationship Id="rId29" Type="http://schemas.openxmlformats.org/officeDocument/2006/relationships/hyperlink" Target="https://doi.org/10.1080/16522354.2018.14817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2-6852-6258" TargetMode="External"/><Relationship Id="rId24" Type="http://schemas.openxmlformats.org/officeDocument/2006/relationships/image" Target="media/image4.emf"/><Relationship Id="rId32" Type="http://schemas.openxmlformats.org/officeDocument/2006/relationships/hyperlink" Target="https://doi.org/10.17851/1983-3652.13.1.20-44" TargetMode="External"/><Relationship Id="rId37" Type="http://schemas.openxmlformats.org/officeDocument/2006/relationships/hyperlink" Target="https://doi.org/10.1177/1461444810365313" TargetMode="External"/><Relationship Id="rId40" Type="http://schemas.openxmlformats.org/officeDocument/2006/relationships/hyperlink" Target="http://doi.org/10.35742/rcci.2018.23(1).15-27" TargetMode="External"/><Relationship Id="rId45" Type="http://schemas.openxmlformats.org/officeDocument/2006/relationships/hyperlink" Target="https://doi.org/10.1108/10748120110424816" TargetMode="External"/><Relationship Id="rId53" Type="http://schemas.openxmlformats.org/officeDocument/2006/relationships/hyperlink" Target="mailto:albamaria.martinez@ua.es" TargetMode="External"/><Relationship Id="rId58" Type="http://schemas.openxmlformats.org/officeDocument/2006/relationships/hyperlink" Target="mailto:almudenabarrientos@iriarteuniversidad.es" TargetMode="External"/><Relationship Id="rId66"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mailto:albamaria.martinez@ua.es" TargetMode="External"/><Relationship Id="rId23" Type="http://schemas.openxmlformats.org/officeDocument/2006/relationships/hyperlink" Target="http://doi.org/10.15198/seeci.2021.54.e689" TargetMode="External"/><Relationship Id="rId28" Type="http://schemas.openxmlformats.org/officeDocument/2006/relationships/hyperlink" Target="https://doi.org/http://doi.org/10.5281/zenodo.4292728" TargetMode="External"/><Relationship Id="rId36" Type="http://schemas.openxmlformats.org/officeDocument/2006/relationships/hyperlink" Target="https://doi.org/10.4185/RLCS-2018-1242" TargetMode="External"/><Relationship Id="rId49" Type="http://schemas.openxmlformats.org/officeDocument/2006/relationships/hyperlink" Target="https://doi.org/10.3145/epi.2017.nov.13" TargetMode="External"/><Relationship Id="rId57" Type="http://schemas.openxmlformats.org/officeDocument/2006/relationships/hyperlink" Target="https://independent.academia.edu/AlbaMar%C3%ADaMart%C3%ADnezSala" TargetMode="External"/><Relationship Id="rId61" Type="http://schemas.openxmlformats.org/officeDocument/2006/relationships/hyperlink" Target="mailto:davidcaldevilla@ccinf.ucm.es" TargetMode="External"/><Relationship Id="rId10" Type="http://schemas.openxmlformats.org/officeDocument/2006/relationships/hyperlink" Target="http://doi.org/10.15198/seeci.2021.54.e689" TargetMode="External"/><Relationship Id="rId19" Type="http://schemas.openxmlformats.org/officeDocument/2006/relationships/hyperlink" Target="mailto:almudenabarrientos@iriarteuniversidad.es" TargetMode="External"/><Relationship Id="rId31" Type="http://schemas.openxmlformats.org/officeDocument/2006/relationships/hyperlink" Target="https://doi.org/10.5209/rev_meso.2013.n12.45265" TargetMode="External"/><Relationship Id="rId44" Type="http://schemas.openxmlformats.org/officeDocument/2006/relationships/hyperlink" Target="https://doi.org/10.5209/hics.69226" TargetMode="External"/><Relationship Id="rId52" Type="http://schemas.openxmlformats.org/officeDocument/2006/relationships/hyperlink" Target="https://investigacion.utpl.edu.ec/es/grupos/gce" TargetMode="External"/><Relationship Id="rId60" Type="http://schemas.openxmlformats.org/officeDocument/2006/relationships/hyperlink" Target="https://scholar.google.es/citations?user=jUHzsfIAAAAJ&amp;hl=es" TargetMode="External"/><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mailto:davidcaldevilla@ccinf.ucm.es" TargetMode="External"/><Relationship Id="rId27" Type="http://schemas.openxmlformats.org/officeDocument/2006/relationships/hyperlink" Target="https://doi.org/10.14201/fjc201817193213" TargetMode="External"/><Relationship Id="rId30" Type="http://schemas.openxmlformats.org/officeDocument/2006/relationships/hyperlink" Target="https://doi.org/10.3145/epi.2018.nov.12" TargetMode="External"/><Relationship Id="rId35" Type="http://schemas.openxmlformats.org/officeDocument/2006/relationships/hyperlink" Target="https://doi.org/10.5209/rev_ciyc.2014.v19.43902" TargetMode="External"/><Relationship Id="rId43" Type="http://schemas.openxmlformats.org/officeDocument/2006/relationships/hyperlink" Target="https://doi.org/10.1177/1527476417728376" TargetMode="External"/><Relationship Id="rId48" Type="http://schemas.openxmlformats.org/officeDocument/2006/relationships/hyperlink" Target="https://doi.org/10.3145/epi.2015.may.03" TargetMode="External"/><Relationship Id="rId56" Type="http://schemas.openxmlformats.org/officeDocument/2006/relationships/hyperlink" Target="https://www.researchgate.net/profile/Alba_Maria_Martinez-Sala"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cvnet.cpd.ua.es/curriculum-breve/grp/es/envejecimiento-y-comunicacion-(agecom)/700" TargetMode="Externa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5.emf"/><Relationship Id="rId33" Type="http://schemas.openxmlformats.org/officeDocument/2006/relationships/hyperlink" Target="https://doi.org/10.24137/raeic.3.6.4" TargetMode="External"/><Relationship Id="rId38" Type="http://schemas.openxmlformats.org/officeDocument/2006/relationships/hyperlink" Target="https://doi.org/10.1177/1354856510394539" TargetMode="External"/><Relationship Id="rId46" Type="http://schemas.openxmlformats.org/officeDocument/2006/relationships/hyperlink" Target="https://doi.org/10.3916/C43-2014-08" TargetMode="External"/><Relationship Id="rId59" Type="http://schemas.openxmlformats.org/officeDocument/2006/relationships/hyperlink" Target="https://orcid.org/0000-0001-9913-3353" TargetMode="External"/><Relationship Id="rId67" Type="http://schemas.openxmlformats.org/officeDocument/2006/relationships/footer" Target="footer2.xml"/><Relationship Id="rId20" Type="http://schemas.openxmlformats.org/officeDocument/2006/relationships/hyperlink" Target="https://orcid.org/0000-0002-9850-1350" TargetMode="External"/><Relationship Id="rId41" Type="http://schemas.openxmlformats.org/officeDocument/2006/relationships/hyperlink" Target="https://doi.org/10.1177/0044118X10383655" TargetMode="External"/><Relationship Id="rId54" Type="http://schemas.openxmlformats.org/officeDocument/2006/relationships/hyperlink" Target="https://orcid.org/0000-0002-6852-6258" TargetMode="External"/><Relationship Id="rId62" Type="http://schemas.openxmlformats.org/officeDocument/2006/relationships/hyperlink" Target="https://orcid.org/0000-0002-9850-135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creativecommons.org/licenses/by-nc/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lbamaria.martinez@ua.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0D35D5-28D1-4232-A5CA-9886BD2E3F7C}">
  <ds:schemaRefs>
    <ds:schemaRef ds:uri="http://schemas.openxmlformats.org/officeDocument/2006/bibliography"/>
  </ds:schemaRefs>
</ds:datastoreItem>
</file>

<file path=customXml/itemProps2.xml><?xml version="1.0" encoding="utf-8"?>
<ds:datastoreItem xmlns:ds="http://schemas.openxmlformats.org/officeDocument/2006/customXml" ds:itemID="{506DAFDD-5500-4EE7-9889-CA16C9D4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62896</Words>
  <Characters>345932</Characters>
  <Application>Microsoft Office Word</Application>
  <DocSecurity>0</DocSecurity>
  <Lines>2882</Lines>
  <Paragraphs>816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2020-04-01T14:57:00Z</dcterms:created>
  <dcterms:modified xsi:type="dcterms:W3CDTF">2021-04-13T10:41:00Z</dcterms:modified>
  <dc:language/>
</cp:coreProperties>
</file>